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杭州萧山国际机场撒药车采购项目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招标补充公告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根据《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杭州萧山国际机场撒药车采购项目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招标文件</w:t>
      </w: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》中招标日程的安排，针对招标文件及各投标单位提交的有关问题，为满足投标人及时编制投标文件，现补充说明如下：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1、问：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关于撒药车的招标，招标文件里表述的商品是否有参考样图？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Style w:val="6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Style w:val="6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答：</w:t>
      </w:r>
      <w:r>
        <w:rPr>
          <w:rStyle w:val="6"/>
          <w:rFonts w:hint="eastAsia" w:ascii="仿宋_GB2312" w:hAnsi="sans-serif" w:eastAsia="仿宋_GB2312" w:cs="仿宋_GB2312"/>
          <w:b w:val="0"/>
          <w:bCs/>
          <w:i w:val="0"/>
          <w:caps w:val="0"/>
          <w:color w:val="000000"/>
          <w:spacing w:val="0"/>
          <w:sz w:val="31"/>
          <w:szCs w:val="31"/>
          <w:lang w:val="en-US" w:eastAsia="zh-CN"/>
        </w:rPr>
        <w:t>参考样图如下：撒药车以拖拉机作为动力，撒药设备为全液压折叠式，臂展伸开后喷洒宽度至少20米。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drawing>
          <wp:inline distT="0" distB="0" distL="114300" distR="114300">
            <wp:extent cx="4842510" cy="2720975"/>
            <wp:effectExtent l="0" t="0" r="15240" b="3175"/>
            <wp:docPr id="1" name="图片 1" descr="微信图片_2019102209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022093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000000"/>
          <w:spacing w:val="0"/>
          <w:sz w:val="31"/>
          <w:szCs w:val="31"/>
          <w:lang w:val="en-US" w:eastAsia="zh-CN"/>
        </w:rPr>
        <w:t>2、问：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>这个车撒药主要是撒在机场哪里？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</w:t>
      </w: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000000"/>
          <w:spacing w:val="0"/>
          <w:sz w:val="31"/>
          <w:szCs w:val="31"/>
          <w:lang w:val="en-US" w:eastAsia="zh-CN"/>
        </w:rPr>
        <w:t>答：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>撒药车主要用于机场飞行区内土面区草坪。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000000"/>
          <w:spacing w:val="0"/>
          <w:sz w:val="31"/>
          <w:szCs w:val="31"/>
          <w:lang w:val="en-US" w:eastAsia="zh-CN"/>
        </w:rPr>
        <w:t>3、问：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>主要撒的是什么类型的药？农药？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000000"/>
          <w:spacing w:val="0"/>
          <w:sz w:val="31"/>
          <w:szCs w:val="31"/>
          <w:lang w:val="en-US" w:eastAsia="zh-CN"/>
        </w:rPr>
        <w:t>答：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>撒药车主要用于喷洒农药和驱鸟剂。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本补充公告为杭州萧山国际机场撒药车采购项目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招标文件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的组成部分，对所有投标人均起约束作用，未作变更部分按原招标文件执行。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sans-serif" w:hAnsi="sans-serif" w:eastAsia="sans-serif" w:cs="sans-serif"/>
          <w:i w:val="0"/>
          <w:caps w:val="0"/>
          <w:color w:val="auto"/>
          <w:spacing w:val="0"/>
          <w:sz w:val="24"/>
          <w:szCs w:val="24"/>
        </w:rPr>
        <w:t>​</w:t>
      </w:r>
      <w:r>
        <w:rPr>
          <w:rFonts w:ascii="仿宋_GB2312" w:eastAsia="仿宋_GB2312"/>
          <w:color w:val="auto"/>
          <w:sz w:val="32"/>
          <w:szCs w:val="32"/>
        </w:rPr>
        <w:t>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FA"/>
    <w:rsid w:val="000D321B"/>
    <w:rsid w:val="00114DCA"/>
    <w:rsid w:val="001A355E"/>
    <w:rsid w:val="00292468"/>
    <w:rsid w:val="002E5906"/>
    <w:rsid w:val="003F0FB1"/>
    <w:rsid w:val="00421D6E"/>
    <w:rsid w:val="00467A94"/>
    <w:rsid w:val="004D73C0"/>
    <w:rsid w:val="005361DE"/>
    <w:rsid w:val="006D2BFD"/>
    <w:rsid w:val="00720E5E"/>
    <w:rsid w:val="007F665D"/>
    <w:rsid w:val="00A864FA"/>
    <w:rsid w:val="00B53B19"/>
    <w:rsid w:val="00D663DD"/>
    <w:rsid w:val="00E0582E"/>
    <w:rsid w:val="00F14625"/>
    <w:rsid w:val="00F3354F"/>
    <w:rsid w:val="00F46FDC"/>
    <w:rsid w:val="00F47703"/>
    <w:rsid w:val="00F66B08"/>
    <w:rsid w:val="080214DF"/>
    <w:rsid w:val="16D16577"/>
    <w:rsid w:val="197D7598"/>
    <w:rsid w:val="2B472599"/>
    <w:rsid w:val="2D897438"/>
    <w:rsid w:val="2E207A66"/>
    <w:rsid w:val="41554A2E"/>
    <w:rsid w:val="4289176C"/>
    <w:rsid w:val="42895D90"/>
    <w:rsid w:val="49820ACB"/>
    <w:rsid w:val="522272C6"/>
    <w:rsid w:val="527517DF"/>
    <w:rsid w:val="61B860F1"/>
    <w:rsid w:val="6293389D"/>
    <w:rsid w:val="6633191B"/>
    <w:rsid w:val="774758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165DD2"/>
      <w:kern w:val="0"/>
      <w:sz w:val="24"/>
      <w:u w:val="none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414141"/>
      <w:u w:val="none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2018-04-26T04:33:00Z</dcterms:created>
  <dc:creator>张治</dc:creator>
  <cp:lastModifiedBy>LMP</cp:lastModifiedBy>
  <dcterms:modified xsi:type="dcterms:W3CDTF">2019-10-22T02:30:32Z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