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36"/>
          <w:szCs w:val="36"/>
          <w:u w:val="single"/>
        </w:rPr>
      </w:pPr>
      <w:r>
        <w:rPr>
          <w:rFonts w:hint="eastAsia" w:eastAsia="黑体" w:cs="Calibri"/>
          <w:b/>
          <w:sz w:val="36"/>
          <w:szCs w:val="36"/>
          <w:u w:val="single"/>
        </w:rPr>
        <w:t>新建东区摆渡车停靠场地工程</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一九年十二</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szCs w:val="22"/>
        </w:rPr>
      </w:pPr>
    </w:p>
    <w:p>
      <w:pPr>
        <w:pStyle w:val="84"/>
        <w:widowControl/>
        <w:numPr>
          <w:ilvl w:val="255"/>
          <w:numId w:val="0"/>
        </w:numPr>
        <w:snapToGrid w:val="0"/>
        <w:spacing w:line="360" w:lineRule="exact"/>
        <w:jc w:val="left"/>
        <w:rPr>
          <w:rFonts w:ascii="宋体" w:hAnsi="宋体" w:cs="Arial"/>
          <w:b/>
          <w:bCs/>
          <w:kern w:val="0"/>
          <w:sz w:val="22"/>
          <w:szCs w:val="22"/>
        </w:rPr>
      </w:pPr>
      <w:bookmarkStart w:id="184" w:name="_GoBack"/>
      <w:r>
        <w:rPr>
          <w:rFonts w:hint="eastAsia" w:ascii="宋体" w:hAnsi="宋体" w:cs="Arial"/>
          <w:b/>
          <w:bCs/>
          <w:kern w:val="0"/>
          <w:sz w:val="22"/>
          <w:szCs w:val="22"/>
        </w:rPr>
        <w:t>一、招标内容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（1）项目概况：杭州萧山国际机场新建东区摆渡车停靠场地工程，位于杭州萧山国际机场内，主要包括：在东区接驳停车场东侧新建一座摆渡车候车亭，包括基础浇筑等内容。</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 xml:space="preserve">（2）招标内容：详见工程量清单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具有市政工程施工总承包三级及以上资质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建筑或市政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前送至杭州萧山国际机场翔越路综合服务楼园区招标中心，逾期无效；若采用投递（邮寄）方式的，请于</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pStyle w:val="51"/>
        <w:ind w:firstLine="440" w:firstLineChars="200"/>
        <w:jc w:val="both"/>
        <w:rPr>
          <w:rFonts w:ascii="宋体" w:hAnsi="宋体" w:eastAsia="宋体" w:cs="黑体"/>
          <w:b w:val="0"/>
          <w:bCs w:val="0"/>
          <w:kern w:val="2"/>
          <w:sz w:val="22"/>
          <w:szCs w:val="22"/>
        </w:rPr>
      </w:pPr>
      <w:r>
        <w:rPr>
          <w:rFonts w:hint="eastAsia" w:ascii="宋体" w:hAnsi="宋体" w:eastAsia="宋体" w:cs="黑体"/>
          <w:b w:val="0"/>
          <w:bCs w:val="0"/>
          <w:kern w:val="2"/>
          <w:sz w:val="22"/>
          <w:szCs w:val="22"/>
        </w:rPr>
        <w:t>投标联系人：贾思勰        联系电话： 0571-83837612</w:t>
      </w:r>
    </w:p>
    <w:p>
      <w:pPr>
        <w:pStyle w:val="51"/>
        <w:ind w:firstLine="440" w:firstLineChars="200"/>
        <w:jc w:val="both"/>
      </w:pPr>
      <w:r>
        <w:rPr>
          <w:rFonts w:hint="eastAsia" w:ascii="宋体" w:hAnsi="宋体" w:eastAsia="宋体" w:cs="黑体"/>
          <w:b w:val="0"/>
          <w:bCs w:val="0"/>
          <w:kern w:val="2"/>
          <w:sz w:val="22"/>
          <w:szCs w:val="22"/>
        </w:rPr>
        <w:t>招标监督人：刘闻捷         联系电话： 0571-</w:t>
      </w:r>
      <w:r>
        <w:rPr>
          <w:rFonts w:ascii="宋体" w:hAnsi="宋体" w:eastAsia="宋体" w:cs="黑体"/>
          <w:b w:val="0"/>
          <w:bCs w:val="0"/>
          <w:kern w:val="2"/>
          <w:sz w:val="22"/>
          <w:szCs w:val="22"/>
        </w:rPr>
        <w:t>86662134</w:t>
      </w:r>
      <w:r>
        <w:rPr>
          <w:rFonts w:hint="eastAsia" w:ascii="宋体" w:hAnsi="宋体"/>
          <w:bCs w:val="0"/>
          <w:sz w:val="22"/>
          <w:szCs w:val="22"/>
        </w:rPr>
        <w:t xml:space="preserve"> </w:t>
      </w:r>
      <w:bookmarkEnd w:id="184"/>
      <w:r>
        <w:rPr>
          <w:rFonts w:ascii="宋体" w:hAnsi="宋体"/>
          <w:bCs w:val="0"/>
          <w:sz w:val="22"/>
          <w:szCs w:val="22"/>
        </w:rPr>
        <w:br w:type="page"/>
      </w:r>
      <w:bookmarkStart w:id="1" w:name="_Toc450630557"/>
      <w:bookmarkStart w:id="2" w:name="_Toc450630558"/>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杭州萧山国际机场新建东区摆渡车停靠场地工程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日10：00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12月30</w:t>
            </w:r>
            <w:r>
              <w:rPr>
                <w:rFonts w:hint="eastAsia" w:ascii="宋体" w:hAnsi="宋体" w:cs="Calibri"/>
                <w:kern w:val="0"/>
                <w:sz w:val="22"/>
              </w:rPr>
              <w:t>日15：30前，以书面加盖公章的形式通过E-mail或传真提交给招标人（投标联系人:贾思勰，电话0571-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b/>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杭州萧山国际机场新建东区摆渡车停靠场地工程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1</w:t>
            </w:r>
            <w:r>
              <w:rPr>
                <w:rFonts w:hint="eastAsia" w:ascii="宋体" w:hAnsi="宋体" w:cs="Arial"/>
                <w:kern w:val="0"/>
                <w:sz w:val="22"/>
              </w:rPr>
              <w:t>月</w:t>
            </w:r>
            <w:r>
              <w:rPr>
                <w:rFonts w:hint="eastAsia" w:ascii="宋体" w:hAnsi="宋体" w:cs="Arial"/>
                <w:kern w:val="0"/>
                <w:sz w:val="22"/>
                <w:lang w:val="en-US" w:eastAsia="zh-CN"/>
              </w:rPr>
              <w:t>7</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5241"/>
      <w:bookmarkStart w:id="17" w:name="_Toc143421657"/>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hint="eastAsia" w:ascii="宋体" w:hAnsi="宋体" w:cs="宋体"/>
          <w:sz w:val="22"/>
          <w:u w:val="single"/>
        </w:rPr>
        <w:t xml:space="preserve"> /。</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19809801"/>
      <w:bookmarkStart w:id="47" w:name="_Toc22012324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220123242"/>
      <w:bookmarkStart w:id="51" w:name="_Toc15553"/>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219809803"/>
      <w:bookmarkStart w:id="54" w:name="_Toc18806"/>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20123244"/>
      <w:bookmarkStart w:id="56" w:name="_Toc215941254"/>
      <w:bookmarkStart w:id="57" w:name="_Toc219809804"/>
      <w:bookmarkStart w:id="58" w:name="_Toc2986"/>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5509"/>
      <w:bookmarkStart w:id="60" w:name="_Toc219809805"/>
      <w:bookmarkStart w:id="61" w:name="_Toc22012324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20123247"/>
      <w:bookmarkStart w:id="66" w:name="_Toc10756"/>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20123248"/>
      <w:bookmarkStart w:id="69" w:name="_Toc21980980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3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bookmarkStart w:id="76" w:name="_Toc448097405"/>
      <w:bookmarkStart w:id="77" w:name="_Toc450630560"/>
      <w:r>
        <w:rPr>
          <w:rFonts w:hint="eastAsia" w:ascii="宋体" w:hAnsi="宋体" w:cs="宋体"/>
          <w:b/>
          <w:sz w:val="28"/>
          <w:szCs w:val="20"/>
        </w:rPr>
        <w:t>第一部分  合同协议书</w:t>
      </w:r>
      <w:bookmarkEnd w:id="76"/>
      <w:bookmarkEnd w:id="77"/>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杭州萧山国际机场新建东区摆渡车停靠场地工程</w:t>
      </w:r>
      <w:r>
        <w:rPr>
          <w:rFonts w:hint="eastAsia" w:ascii="宋体" w:hAnsi="宋体"/>
          <w:sz w:val="22"/>
          <w:szCs w:val="22"/>
        </w:rPr>
        <w:t>，已接受【    】（以下简称“承包人”）对该项目施工的投标。发包人和承包人共同达成如下协议。</w:t>
      </w:r>
    </w:p>
    <w:p>
      <w:pPr>
        <w:spacing w:line="400" w:lineRule="exact"/>
        <w:ind w:firstLine="440" w:firstLineChars="200"/>
        <w:rPr>
          <w:rFonts w:ascii="宋体" w:hAnsi="宋体"/>
          <w:sz w:val="22"/>
          <w:szCs w:val="22"/>
        </w:rPr>
      </w:pPr>
      <w:bookmarkStart w:id="78" w:name="_Toc144974828"/>
      <w:bookmarkStart w:id="79" w:name="_Toc152042548"/>
      <w:r>
        <w:rPr>
          <w:rFonts w:hint="eastAsia" w:ascii="宋体" w:hAnsi="宋体"/>
          <w:sz w:val="22"/>
          <w:szCs w:val="22"/>
        </w:rPr>
        <w:t>1. 本协议书与下列文件一起构成合同文件：</w:t>
      </w:r>
      <w:bookmarkEnd w:id="78"/>
      <w:bookmarkEnd w:id="79"/>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80" w:name="_Toc152042549"/>
      <w:bookmarkStart w:id="81" w:name="_Toc144974829"/>
      <w:r>
        <w:rPr>
          <w:rFonts w:hint="eastAsia" w:ascii="宋体" w:hAnsi="宋体"/>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宋体" w:hAnsi="宋体"/>
          <w:sz w:val="22"/>
          <w:szCs w:val="22"/>
        </w:rPr>
      </w:pPr>
      <w:r>
        <w:rPr>
          <w:rFonts w:hint="eastAsia" w:ascii="宋体" w:hAnsi="宋体"/>
          <w:sz w:val="22"/>
          <w:szCs w:val="22"/>
        </w:rPr>
        <w:t>3. 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       身份证号：      。</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 xml:space="preserve">    </w:t>
      </w:r>
      <w:r>
        <w:rPr>
          <w:rFonts w:hint="eastAsia" w:ascii="宋体" w:hAnsi="宋体"/>
          <w:sz w:val="22"/>
          <w:szCs w:val="22"/>
        </w:rPr>
        <w:t>日历天。预计开工时间为【】年【】月【】日。</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82" w:name="_Toc144974830"/>
      <w:bookmarkStart w:id="83" w:name="_Toc152042550"/>
      <w:r>
        <w:rPr>
          <w:rFonts w:hint="eastAsia" w:ascii="宋体" w:hAnsi="宋体"/>
          <w:sz w:val="22"/>
          <w:szCs w:val="22"/>
        </w:rPr>
        <w:t>10. 合同未尽事宜，双方另行签订补充协议。补充协议是合同的组成部分。</w:t>
      </w:r>
      <w:bookmarkEnd w:id="82"/>
      <w:bookmarkEnd w:id="83"/>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448097406"/>
      <w:bookmarkStart w:id="85" w:name="_Toc450630561"/>
      <w:bookmarkStart w:id="86" w:name="_Toc246392119"/>
      <w:bookmarkStart w:id="87" w:name="_Toc375636693"/>
      <w:bookmarkStart w:id="88" w:name="_Toc375636694"/>
      <w:bookmarkStart w:id="89" w:name="_Toc144974736"/>
      <w:bookmarkStart w:id="90" w:name="_Toc152042545"/>
      <w:bookmarkStart w:id="91" w:name="_Toc152045766"/>
      <w:r>
        <w:rPr>
          <w:rFonts w:hint="eastAsia" w:ascii="宋体" w:hAnsi="宋体" w:cs="宋体"/>
          <w:b/>
          <w:sz w:val="28"/>
          <w:szCs w:val="20"/>
        </w:rPr>
        <w:t>第二部分  通用合同条款</w:t>
      </w:r>
      <w:bookmarkEnd w:id="84"/>
      <w:bookmarkEnd w:id="85"/>
      <w:bookmarkEnd w:id="86"/>
      <w:bookmarkEnd w:id="87"/>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工程名称：杭州萧山国际机场新建东区摆渡车停靠场地工程</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w:t>
      </w:r>
      <w:r>
        <w:rPr>
          <w:rFonts w:hint="eastAsia" w:ascii="宋体" w:hAnsi="宋体" w:cs="Arial"/>
          <w:bCs/>
          <w:sz w:val="22"/>
        </w:rPr>
        <w:t>“分部分项工程清单与计价表”和“施工技术措施项目清单与计价表”中</w:t>
      </w:r>
      <w:r>
        <w:rPr>
          <w:rFonts w:hint="eastAsia" w:ascii="宋体" w:hAnsi="宋体" w:cs="宋体"/>
          <w:sz w:val="22"/>
          <w:szCs w:val="22"/>
        </w:rPr>
        <w:t>综合单价所</w:t>
      </w:r>
      <w:r>
        <w:rPr>
          <w:rFonts w:ascii="宋体" w:hAnsi="宋体" w:cs="宋体"/>
          <w:sz w:val="22"/>
          <w:szCs w:val="22"/>
        </w:rPr>
        <w:t>包含的工程内容；b、合同执行期内，投标</w:t>
      </w:r>
      <w:r>
        <w:rPr>
          <w:rFonts w:hint="eastAsia" w:ascii="宋体" w:hAnsi="宋体" w:cs="宋体"/>
          <w:sz w:val="22"/>
          <w:szCs w:val="22"/>
        </w:rPr>
        <w:t>人工、</w:t>
      </w:r>
      <w:r>
        <w:rPr>
          <w:rFonts w:ascii="宋体" w:hAnsi="宋体" w:cs="宋体"/>
          <w:sz w:val="22"/>
          <w:szCs w:val="22"/>
        </w:rPr>
        <w:t>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计算，其单价执行原投标综合单价，并按投标口径计取规费和税金，不再计其他任何费用（16.3.2.2（5）约定的费用调整除外）。若合价金额占合同价2%及以上的分部分项清单项目，其工程量增减超过本项目</w:t>
      </w:r>
      <w:r>
        <w:rPr>
          <w:rFonts w:hint="eastAsia" w:ascii="宋体" w:hAnsi="宋体" w:cs="宋体"/>
          <w:sz w:val="22"/>
          <w:szCs w:val="22"/>
        </w:rPr>
        <w:t>招标</w:t>
      </w:r>
      <w:r>
        <w:rPr>
          <w:rFonts w:ascii="宋体" w:hAnsi="宋体" w:cs="宋体"/>
          <w:sz w:val="22"/>
          <w:szCs w:val="22"/>
        </w:rPr>
        <w:t>工程量清单数量15%及以上时，工程量按</w:t>
      </w:r>
      <w:r>
        <w:rPr>
          <w:rFonts w:hint="eastAsia" w:ascii="宋体" w:hAnsi="宋体" w:cs="宋体"/>
          <w:sz w:val="22"/>
          <w:szCs w:val="22"/>
        </w:rPr>
        <w:t>现行国标</w:t>
      </w:r>
      <w:r>
        <w:rPr>
          <w:rFonts w:ascii="宋体" w:hAnsi="宋体" w:cs="宋体"/>
          <w:sz w:val="22"/>
          <w:szCs w:val="22"/>
        </w:rPr>
        <w:t>清单</w:t>
      </w:r>
      <w:r>
        <w:rPr>
          <w:rFonts w:hint="eastAsia" w:ascii="宋体" w:hAnsi="宋体" w:cs="宋体"/>
          <w:sz w:val="22"/>
          <w:szCs w:val="22"/>
        </w:rPr>
        <w:t>计价</w:t>
      </w:r>
      <w:r>
        <w:rPr>
          <w:rFonts w:ascii="宋体" w:hAnsi="宋体" w:cs="宋体"/>
          <w:sz w:val="22"/>
          <w:szCs w:val="22"/>
        </w:rPr>
        <w:t>规则</w:t>
      </w:r>
      <w:r>
        <w:rPr>
          <w:rFonts w:hint="eastAsia" w:ascii="宋体" w:hAnsi="宋体" w:cs="宋体"/>
          <w:sz w:val="22"/>
          <w:szCs w:val="22"/>
        </w:rPr>
        <w:t>按实</w:t>
      </w:r>
      <w:r>
        <w:rPr>
          <w:rFonts w:ascii="宋体" w:hAnsi="宋体" w:cs="宋体"/>
          <w:sz w:val="22"/>
          <w:szCs w:val="22"/>
        </w:rPr>
        <w:t>计算，其综合单价按以下规定</w:t>
      </w:r>
      <w:r>
        <w:rPr>
          <w:rFonts w:hint="eastAsia" w:ascii="宋体" w:hAnsi="宋体" w:cs="宋体"/>
          <w:sz w:val="22"/>
          <w:szCs w:val="22"/>
        </w:rPr>
        <w:t>重新</w:t>
      </w:r>
      <w:r>
        <w:rPr>
          <w:rFonts w:ascii="宋体" w:hAnsi="宋体" w:cs="宋体"/>
          <w:sz w:val="22"/>
          <w:szCs w:val="22"/>
        </w:rPr>
        <w:t>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履约保证金不足以支付违约金的，发包人有权直接在工程款中扣除。</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hAnsi="仿宋_GB2312" w:eastAsia="仿宋_GB2312" w:cs="仿宋_GB2312"/>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仿宋_GB2312" w:hAnsi="仿宋_GB2312" w:eastAsia="仿宋_GB2312" w:cs="仿宋_GB2312"/>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33%】的电费转供设施维护费（加收部分主要是损耗、运行维护、维修费等）。如供电局电价调整，电费单价也作相应的调整，收取的【33%】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杭州萧山国际机场新建东区摆渡车停靠场地工程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杭州萧山国际机场新建东区摆渡车停靠场地工程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rPr>
        <w:t>杭州萧山国际机场新建东区摆渡车停靠场地工程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5"/>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pPr>
      <w:bookmarkStart w:id="92" w:name="_Toc450630562"/>
    </w:p>
    <w:p>
      <w:pPr>
        <w:pStyle w:val="51"/>
      </w:pPr>
    </w:p>
    <w:p>
      <w:pPr>
        <w:pStyle w:val="51"/>
      </w:pPr>
      <w:r>
        <w:rPr>
          <w:rFonts w:hint="eastAsia"/>
        </w:rPr>
        <w:t>第四章  工程量清单</w:t>
      </w:r>
      <w:bookmarkEnd w:id="92"/>
    </w:p>
    <w:p>
      <w:pPr>
        <w:widowControl/>
        <w:jc w:val="left"/>
        <w:rPr>
          <w:rFonts w:eastAsia="黑体" w:cs="Times New Roman"/>
          <w:b/>
          <w:bCs/>
          <w:kern w:val="0"/>
          <w:sz w:val="32"/>
          <w:szCs w:val="32"/>
        </w:rPr>
      </w:pPr>
      <w:r>
        <w:br w:type="page"/>
      </w:r>
    </w:p>
    <w:p>
      <w:pPr>
        <w:pStyle w:val="51"/>
      </w:pPr>
      <w:bookmarkStart w:id="93" w:name="_Toc450630563"/>
      <w:r>
        <w:rPr>
          <w:rFonts w:hint="eastAsia"/>
        </w:rPr>
        <w:t xml:space="preserve">第五章  </w:t>
      </w:r>
      <w:bookmarkEnd w:id="93"/>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94" w:name="_Toc408367761"/>
      <w:bookmarkStart w:id="95" w:name="_Toc175643531"/>
      <w:bookmarkStart w:id="96"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94"/>
    <w:bookmarkEnd w:id="95"/>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b/>
          <w:bCs/>
          <w:sz w:val="22"/>
          <w:szCs w:val="22"/>
        </w:rPr>
      </w:pPr>
      <w:r>
        <w:rPr>
          <w:rFonts w:hint="eastAsia" w:hAnsi="宋体"/>
          <w:sz w:val="22"/>
          <w:szCs w:val="22"/>
        </w:rPr>
        <w:t>1、详见工程量清单及其施工措施描述</w:t>
      </w:r>
      <w:r>
        <w:rPr>
          <w:rFonts w:hint="eastAsia" w:hAnsi="宋体"/>
          <w:b/>
          <w:bCs/>
          <w:sz w:val="22"/>
          <w:szCs w:val="22"/>
        </w:rPr>
        <w:t>。</w:t>
      </w:r>
    </w:p>
    <w:p>
      <w:pPr>
        <w:pStyle w:val="142"/>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候车亭主体材料：主要有热镀锌钢材、热镀锌板、6+</w:t>
      </w:r>
      <w:r>
        <w:rPr>
          <w:rFonts w:ascii="宋体" w:hAnsi="宋体"/>
          <w:b/>
          <w:sz w:val="22"/>
          <w:szCs w:val="22"/>
        </w:rPr>
        <w:t>6</w:t>
      </w:r>
      <w:r>
        <w:rPr>
          <w:rFonts w:hint="eastAsia" w:ascii="宋体" w:hAnsi="宋体"/>
          <w:b/>
          <w:sz w:val="22"/>
          <w:szCs w:val="22"/>
        </w:rPr>
        <w:t>夹胶镀膜钢化玻璃等构成。</w:t>
      </w:r>
    </w:p>
    <w:p>
      <w:pPr>
        <w:snapToGrid w:val="0"/>
        <w:spacing w:line="360" w:lineRule="exact"/>
        <w:ind w:firstLine="442" w:firstLineChars="200"/>
        <w:rPr>
          <w:rFonts w:ascii="宋体" w:hAnsi="宋体"/>
          <w:b/>
          <w:sz w:val="22"/>
          <w:szCs w:val="22"/>
        </w:rPr>
      </w:pPr>
      <w:r>
        <w:rPr>
          <w:rFonts w:hint="eastAsia" w:ascii="宋体" w:hAnsi="宋体"/>
          <w:b/>
          <w:sz w:val="22"/>
          <w:szCs w:val="22"/>
        </w:rPr>
        <w:t>2</w:t>
      </w:r>
      <w:r>
        <w:rPr>
          <w:rFonts w:ascii="宋体" w:hAnsi="宋体"/>
          <w:b/>
          <w:sz w:val="22"/>
          <w:szCs w:val="22"/>
        </w:rPr>
        <w:t>.</w:t>
      </w:r>
      <w:r>
        <w:rPr>
          <w:rFonts w:hint="eastAsia" w:ascii="宋体" w:hAnsi="宋体"/>
          <w:b/>
          <w:sz w:val="22"/>
          <w:szCs w:val="22"/>
        </w:rPr>
        <w:t>表面喷涂：面漆G</w:t>
      </w:r>
      <w:r>
        <w:rPr>
          <w:rFonts w:ascii="宋体" w:hAnsi="宋体"/>
          <w:b/>
          <w:sz w:val="22"/>
          <w:szCs w:val="22"/>
        </w:rPr>
        <w:t>100</w:t>
      </w:r>
      <w:r>
        <w:rPr>
          <w:rFonts w:hint="eastAsia" w:ascii="宋体" w:hAnsi="宋体"/>
          <w:b/>
          <w:sz w:val="22"/>
          <w:szCs w:val="22"/>
        </w:rPr>
        <w:t>钢构用氟碳漆，氟数值6</w:t>
      </w:r>
      <w:r>
        <w:rPr>
          <w:rFonts w:ascii="宋体" w:hAnsi="宋体"/>
          <w:b/>
          <w:sz w:val="22"/>
          <w:szCs w:val="22"/>
        </w:rPr>
        <w:t>0</w:t>
      </w:r>
      <w:r>
        <w:rPr>
          <w:rFonts w:hint="eastAsia" w:ascii="宋体" w:hAnsi="宋体"/>
          <w:b/>
          <w:sz w:val="22"/>
          <w:szCs w:val="22"/>
        </w:rPr>
        <w:t>%，质保十五年，漆膜厚度</w:t>
      </w:r>
      <w:r>
        <w:rPr>
          <w:rFonts w:ascii="宋体" w:hAnsi="宋体"/>
          <w:b/>
          <w:sz w:val="22"/>
          <w:szCs w:val="22"/>
        </w:rPr>
        <w:t>50</w:t>
      </w:r>
      <w:r>
        <w:rPr>
          <w:rFonts w:hint="eastAsia" w:ascii="宋体" w:hAnsi="宋体"/>
          <w:b/>
          <w:sz w:val="22"/>
          <w:szCs w:val="22"/>
        </w:rPr>
        <w:t>um-</w:t>
      </w:r>
      <w:r>
        <w:rPr>
          <w:rFonts w:ascii="宋体" w:hAnsi="宋体"/>
          <w:b/>
          <w:sz w:val="22"/>
          <w:szCs w:val="22"/>
        </w:rPr>
        <w:t>60</w:t>
      </w:r>
      <w:r>
        <w:rPr>
          <w:rFonts w:hint="eastAsia" w:ascii="宋体" w:hAnsi="宋体"/>
          <w:b/>
          <w:sz w:val="22"/>
          <w:szCs w:val="22"/>
        </w:rPr>
        <w:t>um。</w:t>
      </w:r>
    </w:p>
    <w:p>
      <w:pPr>
        <w:snapToGrid w:val="0"/>
        <w:spacing w:line="360" w:lineRule="exact"/>
        <w:ind w:firstLine="442" w:firstLineChars="200"/>
        <w:rPr>
          <w:rFonts w:ascii="宋体" w:hAnsi="宋体"/>
          <w:b/>
          <w:sz w:val="22"/>
          <w:szCs w:val="22"/>
        </w:rPr>
      </w:pPr>
      <w:r>
        <w:rPr>
          <w:rFonts w:hint="eastAsia" w:ascii="宋体" w:hAnsi="宋体"/>
          <w:b/>
          <w:sz w:val="22"/>
          <w:szCs w:val="22"/>
        </w:rPr>
        <w:t>中涂：保护封闭，Z</w:t>
      </w:r>
      <w:r>
        <w:rPr>
          <w:rFonts w:ascii="宋体" w:hAnsi="宋体"/>
          <w:b/>
          <w:sz w:val="22"/>
          <w:szCs w:val="22"/>
        </w:rPr>
        <w:t>F-PH100</w:t>
      </w:r>
      <w:r>
        <w:rPr>
          <w:rFonts w:hint="eastAsia" w:ascii="宋体" w:hAnsi="宋体"/>
          <w:b/>
          <w:sz w:val="22"/>
          <w:szCs w:val="22"/>
        </w:rPr>
        <w:t>理论涂布率1</w:t>
      </w:r>
      <w:r>
        <w:rPr>
          <w:rFonts w:ascii="宋体" w:hAnsi="宋体"/>
          <w:b/>
          <w:sz w:val="22"/>
          <w:szCs w:val="22"/>
        </w:rPr>
        <w:t>80</w:t>
      </w:r>
      <w:r>
        <w:rPr>
          <w:rFonts w:hint="eastAsia" w:ascii="宋体" w:hAnsi="宋体"/>
          <w:b/>
          <w:sz w:val="22"/>
          <w:szCs w:val="22"/>
        </w:rPr>
        <w:t>g/㎡。</w:t>
      </w:r>
    </w:p>
    <w:p>
      <w:pPr>
        <w:snapToGrid w:val="0"/>
        <w:spacing w:line="360" w:lineRule="exact"/>
        <w:ind w:firstLine="442" w:firstLineChars="200"/>
        <w:rPr>
          <w:rFonts w:ascii="宋体" w:hAnsi="宋体"/>
          <w:b/>
          <w:sz w:val="22"/>
          <w:szCs w:val="22"/>
        </w:rPr>
      </w:pPr>
      <w:r>
        <w:rPr>
          <w:rFonts w:hint="eastAsia" w:ascii="宋体" w:hAnsi="宋体"/>
          <w:b/>
          <w:sz w:val="22"/>
          <w:szCs w:val="22"/>
        </w:rPr>
        <w:t>底漆：功能防腐，环氧富锌，锌含量5</w:t>
      </w:r>
      <w:r>
        <w:rPr>
          <w:rFonts w:ascii="宋体" w:hAnsi="宋体"/>
          <w:b/>
          <w:sz w:val="22"/>
          <w:szCs w:val="22"/>
        </w:rPr>
        <w:t>0</w:t>
      </w:r>
      <w:r>
        <w:rPr>
          <w:rFonts w:hint="eastAsia" w:ascii="宋体" w:hAnsi="宋体"/>
          <w:b/>
          <w:sz w:val="22"/>
          <w:szCs w:val="22"/>
        </w:rPr>
        <w:t>%。</w:t>
      </w:r>
    </w:p>
    <w:p>
      <w:pPr>
        <w:snapToGrid w:val="0"/>
        <w:spacing w:line="360" w:lineRule="exact"/>
        <w:ind w:firstLine="442" w:firstLineChars="200"/>
        <w:rPr>
          <w:rFonts w:ascii="宋体" w:hAnsi="宋体"/>
          <w:b/>
          <w:sz w:val="22"/>
          <w:szCs w:val="22"/>
        </w:rPr>
      </w:pPr>
      <w:r>
        <w:rPr>
          <w:rFonts w:hint="eastAsia" w:ascii="宋体" w:hAnsi="宋体"/>
          <w:b/>
          <w:sz w:val="22"/>
          <w:szCs w:val="22"/>
        </w:rPr>
        <w:t>3</w:t>
      </w:r>
      <w:r>
        <w:rPr>
          <w:rFonts w:ascii="宋体" w:hAnsi="宋体"/>
          <w:b/>
          <w:sz w:val="22"/>
          <w:szCs w:val="22"/>
        </w:rPr>
        <w:t>.</w:t>
      </w:r>
      <w:r>
        <w:rPr>
          <w:rFonts w:hint="eastAsia" w:ascii="宋体" w:hAnsi="宋体"/>
          <w:b/>
          <w:sz w:val="22"/>
          <w:szCs w:val="22"/>
        </w:rPr>
        <w:t>预埋主材:</w:t>
      </w:r>
      <w:r>
        <w:rPr>
          <w:rFonts w:ascii="宋体" w:hAnsi="宋体"/>
          <w:b/>
          <w:sz w:val="22"/>
          <w:szCs w:val="22"/>
        </w:rPr>
        <w:t>C20</w:t>
      </w:r>
      <w:r>
        <w:rPr>
          <w:rFonts w:hint="eastAsia" w:ascii="宋体" w:hAnsi="宋体"/>
          <w:b/>
          <w:sz w:val="22"/>
          <w:szCs w:val="22"/>
        </w:rPr>
        <w:t>混凝土、1</w:t>
      </w:r>
      <w:r>
        <w:rPr>
          <w:rFonts w:ascii="宋体" w:hAnsi="宋体"/>
          <w:b/>
          <w:sz w:val="22"/>
          <w:szCs w:val="22"/>
        </w:rPr>
        <w:t>2</w:t>
      </w:r>
      <w:r>
        <w:rPr>
          <w:rFonts w:hint="eastAsia" w:ascii="宋体" w:hAnsi="宋体"/>
          <w:b/>
          <w:sz w:val="22"/>
          <w:szCs w:val="22"/>
        </w:rPr>
        <w:t>mm碳钢板、螺纹碳钢。</w:t>
      </w:r>
    </w:p>
    <w:p>
      <w:pPr>
        <w:snapToGrid w:val="0"/>
        <w:spacing w:line="360" w:lineRule="exact"/>
        <w:ind w:firstLine="442" w:firstLineChars="200"/>
        <w:rPr>
          <w:rFonts w:ascii="宋体" w:hAnsi="宋体"/>
          <w:b/>
          <w:sz w:val="22"/>
          <w:szCs w:val="22"/>
        </w:rPr>
      </w:pPr>
      <w:r>
        <w:rPr>
          <w:rFonts w:hint="eastAsia" w:ascii="宋体" w:hAnsi="宋体"/>
          <w:b/>
          <w:sz w:val="22"/>
          <w:szCs w:val="22"/>
        </w:rPr>
        <w:t>4</w:t>
      </w:r>
      <w:r>
        <w:rPr>
          <w:rFonts w:ascii="宋体" w:hAnsi="宋体"/>
          <w:b/>
          <w:sz w:val="22"/>
          <w:szCs w:val="22"/>
        </w:rPr>
        <w:t>.</w:t>
      </w:r>
      <w:r>
        <w:rPr>
          <w:rFonts w:hint="eastAsia" w:ascii="宋体" w:hAnsi="宋体"/>
          <w:b/>
          <w:sz w:val="22"/>
          <w:szCs w:val="22"/>
        </w:rPr>
        <w:t>亮化灯具：色温5</w:t>
      </w:r>
      <w:r>
        <w:rPr>
          <w:rFonts w:ascii="宋体" w:hAnsi="宋体"/>
          <w:b/>
          <w:sz w:val="22"/>
          <w:szCs w:val="22"/>
        </w:rPr>
        <w:t>000</w:t>
      </w:r>
      <w:r>
        <w:rPr>
          <w:rFonts w:hint="eastAsia" w:ascii="宋体" w:hAnsi="宋体"/>
          <w:b/>
          <w:sz w:val="22"/>
          <w:szCs w:val="22"/>
        </w:rPr>
        <w:t>-</w:t>
      </w:r>
      <w:r>
        <w:rPr>
          <w:rFonts w:ascii="宋体" w:hAnsi="宋体"/>
          <w:b/>
          <w:sz w:val="22"/>
          <w:szCs w:val="22"/>
        </w:rPr>
        <w:t>5500</w:t>
      </w:r>
      <w:r>
        <w:rPr>
          <w:rFonts w:hint="eastAsia" w:ascii="宋体" w:hAnsi="宋体"/>
          <w:b/>
          <w:sz w:val="22"/>
          <w:szCs w:val="22"/>
        </w:rPr>
        <w:t>k，光效1</w:t>
      </w:r>
      <w:r>
        <w:rPr>
          <w:rFonts w:ascii="宋体" w:hAnsi="宋体"/>
          <w:b/>
          <w:sz w:val="22"/>
          <w:szCs w:val="22"/>
        </w:rPr>
        <w:t>20</w:t>
      </w:r>
      <w:r>
        <w:rPr>
          <w:rFonts w:hint="eastAsia" w:ascii="宋体" w:hAnsi="宋体"/>
          <w:b/>
          <w:sz w:val="22"/>
          <w:szCs w:val="22"/>
        </w:rPr>
        <w:t>-</w:t>
      </w:r>
      <w:r>
        <w:rPr>
          <w:rFonts w:ascii="宋体" w:hAnsi="宋体"/>
          <w:b/>
          <w:sz w:val="22"/>
          <w:szCs w:val="22"/>
        </w:rPr>
        <w:t>130</w:t>
      </w:r>
      <w:r>
        <w:rPr>
          <w:rFonts w:hint="eastAsia" w:ascii="宋体" w:hAnsi="宋体"/>
          <w:b/>
          <w:sz w:val="22"/>
          <w:szCs w:val="22"/>
        </w:rPr>
        <w:t>lm</w:t>
      </w:r>
      <w:r>
        <w:rPr>
          <w:rFonts w:ascii="宋体" w:hAnsi="宋体"/>
          <w:b/>
          <w:sz w:val="22"/>
          <w:szCs w:val="22"/>
        </w:rPr>
        <w:t>/</w:t>
      </w:r>
      <w:r>
        <w:rPr>
          <w:rFonts w:hint="eastAsia" w:ascii="宋体" w:hAnsi="宋体"/>
          <w:b/>
          <w:sz w:val="22"/>
          <w:szCs w:val="22"/>
        </w:rPr>
        <w:t>w</w:t>
      </w:r>
    </w:p>
    <w:p>
      <w:pPr>
        <w:snapToGrid w:val="0"/>
        <w:spacing w:line="360" w:lineRule="exact"/>
        <w:ind w:firstLine="442" w:firstLineChars="200"/>
        <w:rPr>
          <w:rFonts w:ascii="宋体" w:hAnsi="宋体"/>
          <w:b/>
          <w:sz w:val="22"/>
          <w:szCs w:val="22"/>
        </w:rPr>
      </w:pPr>
      <w:r>
        <w:rPr>
          <w:rFonts w:ascii="宋体" w:hAnsi="宋体"/>
          <w:b/>
          <w:sz w:val="22"/>
          <w:szCs w:val="22"/>
        </w:rPr>
        <w:t>5.</w:t>
      </w:r>
      <w:r>
        <w:rPr>
          <w:rFonts w:hint="eastAsia" w:ascii="宋体" w:hAnsi="宋体"/>
          <w:b/>
          <w:sz w:val="22"/>
          <w:szCs w:val="22"/>
        </w:rPr>
        <w:t>细部连接，采用加强焊接方式，焊接完成后需打磨、冷却、刷防锈漆。</w:t>
      </w:r>
    </w:p>
    <w:bookmarkEnd w:id="96"/>
    <w:p>
      <w:pPr>
        <w:pStyle w:val="68"/>
        <w:ind w:firstLine="420" w:firstLineChars="0"/>
        <w:rPr>
          <w:rFonts w:ascii="宋体" w:cs="宋体"/>
          <w:b/>
          <w:bCs/>
          <w:color w:val="auto"/>
          <w:sz w:val="22"/>
          <w:szCs w:val="22"/>
        </w:rPr>
      </w:pPr>
      <w:bookmarkStart w:id="97" w:name="_bookmark42"/>
      <w:bookmarkEnd w:id="97"/>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4、施工围挡按杭州萧山国际机场场区管理中心相关规定执行。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5、施工组织实施须遵守机场特别是或者机场场区管理中心相关规定要求。</w:t>
      </w:r>
    </w:p>
    <w:p>
      <w:pPr>
        <w:adjustRightInd w:val="0"/>
        <w:snapToGrid w:val="0"/>
        <w:spacing w:line="360" w:lineRule="exact"/>
        <w:ind w:firstLine="452"/>
        <w:jc w:val="left"/>
        <w:rPr>
          <w:rFonts w:ascii="宋体" w:hAnsi="宋体"/>
          <w:b/>
          <w:sz w:val="22"/>
        </w:rPr>
      </w:pPr>
      <w:r>
        <w:rPr>
          <w:rFonts w:hint="eastAsia" w:ascii="宋体" w:hAnsi="宋体" w:cs="宋体"/>
          <w:color w:val="000000"/>
          <w:sz w:val="22"/>
        </w:rPr>
        <w:t xml:space="preserve">    </w:t>
      </w:r>
    </w:p>
    <w:p>
      <w:pPr>
        <w:pStyle w:val="51"/>
      </w:pPr>
      <w:r>
        <w:rPr>
          <w:rFonts w:ascii="宋体" w:hAnsi="宋体"/>
          <w:sz w:val="22"/>
          <w:szCs w:val="22"/>
        </w:rPr>
        <w:br w:type="page"/>
      </w:r>
      <w:bookmarkStart w:id="98" w:name="_Toc450630564"/>
      <w:bookmarkStart w:id="99" w:name="_Toc275274581"/>
      <w:r>
        <w:t>第</w:t>
      </w:r>
      <w:r>
        <w:rPr>
          <w:rFonts w:hint="eastAsia"/>
        </w:rPr>
        <w:t>六</w:t>
      </w:r>
      <w:r>
        <w:t xml:space="preserve">章  </w:t>
      </w:r>
      <w:r>
        <w:rPr>
          <w:rFonts w:hint="eastAsia"/>
        </w:rPr>
        <w:t>评标办法及标准</w:t>
      </w:r>
      <w:bookmarkEnd w:id="98"/>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2、技术评分   </w:t>
      </w:r>
      <w:r>
        <w:rPr>
          <w:rFonts w:hAnsi="宋体" w:cs="Calibri"/>
          <w:sz w:val="22"/>
          <w:szCs w:val="22"/>
        </w:rPr>
        <w:t>0</w:t>
      </w:r>
      <w:r>
        <w:rPr>
          <w:rFonts w:hint="eastAsia" w:hAnsi="宋体" w:cs="Calibri"/>
          <w:sz w:val="22"/>
          <w:szCs w:val="22"/>
        </w:rPr>
        <w:t>-30分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ascii="宋体" w:hAnsi="宋体"/>
                <w:sz w:val="22"/>
                <w:szCs w:val="22"/>
              </w:rPr>
              <w:t>0</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ascii="宋体" w:hAnsi="宋体"/>
                <w:sz w:val="22"/>
                <w:szCs w:val="22"/>
              </w:rPr>
              <w:t>0</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ascii="宋体" w:hAnsi="宋体"/>
                <w:sz w:val="22"/>
                <w:szCs w:val="22"/>
              </w:rPr>
              <w:t>0</w:t>
            </w:r>
            <w:r>
              <w:rPr>
                <w:rFonts w:hint="eastAsia" w:ascii="宋体" w:hAnsi="宋体"/>
                <w:sz w:val="22"/>
                <w:szCs w:val="22"/>
              </w:rPr>
              <w:t>—5分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100" w:name="_Toc450630565"/>
      <w:r>
        <w:t>第</w:t>
      </w:r>
      <w:r>
        <w:rPr>
          <w:rFonts w:hint="eastAsia"/>
        </w:rPr>
        <w:t>七</w:t>
      </w:r>
      <w:r>
        <w:t>章  投标文件格式</w:t>
      </w:r>
      <w:bookmarkEnd w:id="99"/>
      <w:bookmarkEnd w:id="100"/>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1" w:name="_Toc171421958"/>
      <w:r>
        <w:rPr>
          <w:rFonts w:cs="Calibri"/>
          <w:color w:val="000000"/>
        </w:rPr>
        <w:t>封面</w:t>
      </w:r>
      <w:bookmarkEnd w:id="101"/>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r>
        <w:rPr>
          <w:rFonts w:hint="eastAsia" w:ascii="宋体" w:hAnsi="宋体"/>
          <w:sz w:val="22"/>
          <w:szCs w:val="22"/>
        </w:rPr>
        <w:t>，</w:t>
      </w:r>
      <w:r>
        <w:rPr>
          <w:rFonts w:ascii="宋体" w:hAnsi="宋体"/>
          <w:sz w:val="22"/>
          <w:szCs w:val="22"/>
        </w:rPr>
        <w:t>本项目项目经理</w:t>
      </w:r>
      <w:r>
        <w:rPr>
          <w:rFonts w:hint="eastAsia" w:ascii="宋体" w:hAnsi="宋体"/>
          <w:sz w:val="22"/>
          <w:szCs w:val="22"/>
        </w:rPr>
        <w:t>是</w:t>
      </w:r>
      <w:r>
        <w:rPr>
          <w:rFonts w:ascii="宋体" w:hAnsi="宋体"/>
          <w:sz w:val="22"/>
          <w:szCs w:val="22"/>
          <w:u w:val="single"/>
        </w:rPr>
        <w:t xml:space="preserve">          </w:t>
      </w:r>
      <w:r>
        <w:rPr>
          <w:rFonts w:hint="eastAsia" w:ascii="宋体" w:hAnsi="宋体"/>
          <w:sz w:val="22"/>
          <w:szCs w:val="22"/>
        </w:rPr>
        <w:t>（身份</w:t>
      </w:r>
      <w:r>
        <w:rPr>
          <w:rFonts w:ascii="宋体" w:hAnsi="宋体"/>
          <w:sz w:val="22"/>
          <w:szCs w:val="22"/>
        </w:rPr>
        <w:t>证号：</w:t>
      </w:r>
      <w:r>
        <w:rPr>
          <w:rFonts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02" w:name="_Toc133214102"/>
      <w:bookmarkStart w:id="103" w:name="_Toc133214309"/>
      <w:bookmarkStart w:id="104" w:name="_Toc133470542"/>
      <w:bookmarkStart w:id="105" w:name="_Toc144265958"/>
      <w:bookmarkStart w:id="106" w:name="_Toc13737339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102"/>
    <w:bookmarkEnd w:id="103"/>
    <w:bookmarkEnd w:id="104"/>
    <w:bookmarkEnd w:id="105"/>
    <w:bookmarkEnd w:id="106"/>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7" w:name="_Toc179632817"/>
      <w:bookmarkStart w:id="108" w:name="_Toc152045797"/>
      <w:bookmarkStart w:id="109" w:name="_Toc246392155"/>
      <w:bookmarkStart w:id="110" w:name="_Toc144974865"/>
      <w:bookmarkStart w:id="111" w:name="_Toc11710"/>
      <w:bookmarkStart w:id="112" w:name="_Toc152042586"/>
      <w:r>
        <w:rPr>
          <w:rFonts w:hint="eastAsia" w:ascii="宋体" w:hAnsi="宋体" w:eastAsia="宋体"/>
        </w:rPr>
        <w:t>附表一：</w:t>
      </w:r>
      <w:r>
        <w:rPr>
          <w:rFonts w:hint="eastAsia" w:ascii="宋体" w:hAnsi="宋体" w:eastAsia="宋体"/>
          <w:szCs w:val="23"/>
        </w:rPr>
        <w:t>拟投入本标段的主要施工设备表</w:t>
      </w:r>
      <w:bookmarkEnd w:id="107"/>
      <w:bookmarkEnd w:id="108"/>
      <w:bookmarkEnd w:id="109"/>
      <w:bookmarkEnd w:id="110"/>
      <w:bookmarkEnd w:id="111"/>
      <w:bookmarkEnd w:id="112"/>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3" w:name="_Toc4957"/>
      <w:bookmarkStart w:id="114" w:name="_Toc246392156"/>
      <w:bookmarkStart w:id="115" w:name="_Toc144974866"/>
      <w:bookmarkStart w:id="116" w:name="_Toc152045798"/>
      <w:bookmarkStart w:id="117" w:name="_Toc152042587"/>
      <w:bookmarkStart w:id="118" w:name="_Toc179632818"/>
      <w:r>
        <w:rPr>
          <w:rFonts w:hint="eastAsia" w:ascii="宋体" w:hAnsi="宋体" w:eastAsia="宋体"/>
        </w:rPr>
        <w:t>附表二：拟配备本标段的试验和检测仪器设备表</w:t>
      </w:r>
      <w:bookmarkEnd w:id="113"/>
      <w:bookmarkEnd w:id="114"/>
      <w:bookmarkEnd w:id="115"/>
      <w:bookmarkEnd w:id="116"/>
      <w:bookmarkEnd w:id="117"/>
      <w:bookmarkEnd w:id="118"/>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9" w:name="_Toc179632819"/>
      <w:bookmarkStart w:id="120" w:name="_Toc8928"/>
      <w:bookmarkStart w:id="121" w:name="_Toc152045799"/>
      <w:bookmarkStart w:id="122" w:name="_Toc144974867"/>
      <w:bookmarkStart w:id="123" w:name="_Toc152042588"/>
      <w:bookmarkStart w:id="124" w:name="_Toc246392157"/>
      <w:r>
        <w:rPr>
          <w:rFonts w:hint="eastAsia" w:ascii="宋体" w:hAnsi="宋体" w:eastAsia="宋体"/>
        </w:rPr>
        <w:t>附表三：劳动力计划表</w:t>
      </w:r>
      <w:bookmarkEnd w:id="119"/>
      <w:bookmarkEnd w:id="120"/>
      <w:bookmarkEnd w:id="121"/>
      <w:bookmarkEnd w:id="122"/>
      <w:bookmarkEnd w:id="123"/>
      <w:bookmarkEnd w:id="124"/>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5" w:name="_Toc179632820"/>
      <w:bookmarkStart w:id="126" w:name="_Toc3750"/>
      <w:bookmarkStart w:id="127" w:name="_Toc152042589"/>
      <w:bookmarkStart w:id="128" w:name="_Toc144974868"/>
      <w:bookmarkStart w:id="129" w:name="_Toc246392158"/>
      <w:bookmarkStart w:id="130" w:name="_Toc152045800"/>
      <w:r>
        <w:rPr>
          <w:rFonts w:hint="eastAsia" w:ascii="宋体" w:hAnsi="宋体" w:eastAsia="宋体"/>
          <w:sz w:val="22"/>
          <w:szCs w:val="22"/>
        </w:rPr>
        <w:t>附表四：计划开、竣工日期和施工进度网络图</w:t>
      </w:r>
      <w:bookmarkEnd w:id="125"/>
      <w:bookmarkEnd w:id="126"/>
      <w:bookmarkEnd w:id="127"/>
      <w:bookmarkEnd w:id="128"/>
      <w:bookmarkEnd w:id="129"/>
      <w:bookmarkEnd w:id="130"/>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31" w:name="_Toc144974869"/>
      <w:bookmarkStart w:id="132" w:name="_Toc152045801"/>
      <w:bookmarkStart w:id="133" w:name="_Toc152042590"/>
      <w:bookmarkStart w:id="134" w:name="_Toc179632821"/>
      <w:bookmarkStart w:id="135" w:name="_Toc246392159"/>
      <w:r>
        <w:rPr>
          <w:rFonts w:hint="eastAsia" w:ascii="宋体" w:hAnsi="宋体"/>
          <w:sz w:val="22"/>
          <w:szCs w:val="22"/>
        </w:rPr>
        <w:t>附表五：施工总平面图</w:t>
      </w:r>
      <w:bookmarkEnd w:id="131"/>
      <w:bookmarkEnd w:id="132"/>
      <w:bookmarkEnd w:id="133"/>
      <w:bookmarkEnd w:id="134"/>
      <w:bookmarkEnd w:id="135"/>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6" w:name="_Toc152042593"/>
      <w:bookmarkStart w:id="137" w:name="_Toc179632824"/>
      <w:bookmarkStart w:id="138" w:name="_Toc29304"/>
      <w:bookmarkStart w:id="139" w:name="_Toc144974872"/>
      <w:bookmarkStart w:id="140" w:name="_Toc246392161"/>
      <w:bookmarkStart w:id="141" w:name="_Toc152045804"/>
      <w:r>
        <w:rPr>
          <w:rFonts w:hint="eastAsia" w:ascii="宋体" w:hAnsi="宋体" w:eastAsia="宋体"/>
          <w:szCs w:val="23"/>
        </w:rPr>
        <w:t>（一）项目管理机构组成表</w:t>
      </w:r>
      <w:bookmarkEnd w:id="136"/>
      <w:bookmarkEnd w:id="137"/>
      <w:bookmarkEnd w:id="138"/>
      <w:bookmarkEnd w:id="139"/>
      <w:bookmarkEnd w:id="140"/>
      <w:bookmarkEnd w:id="141"/>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42" w:name="_Toc25718"/>
      <w:bookmarkStart w:id="143" w:name="_Toc152045805"/>
      <w:bookmarkStart w:id="144" w:name="_Toc152042594"/>
      <w:bookmarkStart w:id="145" w:name="_Toc144974873"/>
      <w:bookmarkStart w:id="146" w:name="_Toc179632825"/>
      <w:bookmarkStart w:id="147" w:name="_Toc246392162"/>
      <w:r>
        <w:rPr>
          <w:rFonts w:hint="eastAsia" w:ascii="宋体" w:hAnsi="宋体" w:eastAsia="宋体"/>
          <w:szCs w:val="23"/>
        </w:rPr>
        <w:t>（二）主要人员简历表</w:t>
      </w:r>
      <w:bookmarkEnd w:id="142"/>
      <w:bookmarkEnd w:id="143"/>
      <w:bookmarkEnd w:id="144"/>
      <w:bookmarkEnd w:id="145"/>
      <w:bookmarkEnd w:id="146"/>
      <w:bookmarkEnd w:id="147"/>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8" w:name="_Toc7025"/>
      <w:bookmarkStart w:id="149" w:name="_Toc245036711"/>
      <w:r>
        <w:rPr>
          <w:rFonts w:hint="eastAsia" w:ascii="Calibri" w:hAnsi="Calibri" w:eastAsia="黑体" w:cs="Calibri"/>
          <w:color w:val="000000"/>
          <w:sz w:val="32"/>
          <w:szCs w:val="32"/>
        </w:rPr>
        <w:t>七、资格审查资料</w:t>
      </w:r>
      <w:bookmarkEnd w:id="148"/>
      <w:bookmarkEnd w:id="149"/>
    </w:p>
    <w:p>
      <w:pPr>
        <w:topLinePunct/>
        <w:spacing w:line="440" w:lineRule="exact"/>
        <w:jc w:val="center"/>
        <w:rPr>
          <w:rFonts w:ascii="宋体" w:hAnsi="宋体"/>
          <w:sz w:val="27"/>
          <w:szCs w:val="27"/>
        </w:rPr>
      </w:pPr>
    </w:p>
    <w:p>
      <w:pPr>
        <w:pStyle w:val="85"/>
        <w:rPr>
          <w:rFonts w:ascii="宋体" w:hAnsi="宋体" w:eastAsia="宋体"/>
          <w:szCs w:val="23"/>
        </w:rPr>
      </w:pPr>
      <w:bookmarkStart w:id="150" w:name="_Toc144974876"/>
      <w:bookmarkStart w:id="151" w:name="_Toc152042597"/>
      <w:bookmarkStart w:id="152" w:name="_Toc17487"/>
      <w:bookmarkStart w:id="153" w:name="_Toc245036712"/>
      <w:bookmarkStart w:id="154" w:name="_Toc152045808"/>
      <w:r>
        <w:rPr>
          <w:rFonts w:hint="eastAsia" w:ascii="宋体" w:hAnsi="宋体" w:eastAsia="宋体"/>
          <w:szCs w:val="23"/>
        </w:rPr>
        <w:t>（一）投标人基本情况表</w:t>
      </w:r>
      <w:bookmarkEnd w:id="150"/>
      <w:bookmarkEnd w:id="151"/>
      <w:bookmarkEnd w:id="152"/>
      <w:bookmarkEnd w:id="153"/>
      <w:bookmarkEnd w:id="154"/>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5" w:name="_Toc152045809"/>
      <w:bookmarkStart w:id="156" w:name="_Toc16950"/>
      <w:bookmarkStart w:id="157" w:name="_Toc152042598"/>
      <w:bookmarkStart w:id="158" w:name="_Toc245036713"/>
      <w:bookmarkStart w:id="159" w:name="_Toc144974877"/>
      <w:r>
        <w:rPr>
          <w:rFonts w:hint="eastAsia" w:ascii="宋体" w:hAnsi="宋体" w:eastAsia="宋体"/>
        </w:rPr>
        <w:br w:type="page"/>
      </w:r>
      <w:r>
        <w:rPr>
          <w:rFonts w:hint="eastAsia" w:ascii="宋体" w:hAnsi="宋体" w:eastAsia="宋体"/>
        </w:rPr>
        <w:t>（二）近年财务状况表</w:t>
      </w:r>
      <w:bookmarkEnd w:id="155"/>
      <w:bookmarkEnd w:id="156"/>
      <w:bookmarkEnd w:id="157"/>
      <w:bookmarkEnd w:id="158"/>
      <w:bookmarkEnd w:id="159"/>
    </w:p>
    <w:p>
      <w:pPr>
        <w:spacing w:line="440" w:lineRule="exact"/>
        <w:rPr>
          <w:rFonts w:ascii="宋体" w:hAnsi="宋体"/>
          <w:sz w:val="23"/>
          <w:szCs w:val="23"/>
        </w:rPr>
      </w:pPr>
    </w:p>
    <w:p>
      <w:pPr>
        <w:pStyle w:val="85"/>
        <w:rPr>
          <w:rFonts w:ascii="宋体" w:hAnsi="宋体" w:eastAsia="宋体"/>
          <w:szCs w:val="23"/>
        </w:rPr>
      </w:pPr>
      <w:bookmarkStart w:id="160" w:name="_Toc152042599"/>
      <w:bookmarkStart w:id="161" w:name="_Toc31021"/>
      <w:bookmarkStart w:id="162" w:name="_Toc144974878"/>
      <w:bookmarkStart w:id="163" w:name="_Toc152045810"/>
      <w:bookmarkStart w:id="164" w:name="_Toc245036714"/>
      <w:r>
        <w:rPr>
          <w:rFonts w:hint="eastAsia" w:ascii="宋体" w:hAnsi="宋体" w:eastAsia="宋体"/>
          <w:szCs w:val="23"/>
        </w:rPr>
        <w:t>（三）近年完成的类似项目情况表</w:t>
      </w:r>
      <w:bookmarkEnd w:id="160"/>
      <w:bookmarkEnd w:id="161"/>
      <w:bookmarkEnd w:id="162"/>
      <w:bookmarkEnd w:id="163"/>
      <w:bookmarkEnd w:id="164"/>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5" w:name="_Toc13233"/>
            <w:r>
              <w:rPr>
                <w:rFonts w:hint="eastAsia" w:ascii="宋体" w:hAnsi="宋体"/>
                <w:szCs w:val="21"/>
              </w:rPr>
              <w:t>项目所在地</w:t>
            </w:r>
            <w:bookmarkEnd w:id="16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6" w:name="_Toc20896"/>
            <w:r>
              <w:rPr>
                <w:rFonts w:hint="eastAsia" w:ascii="宋体" w:hAnsi="宋体"/>
                <w:szCs w:val="21"/>
              </w:rPr>
              <w:t>发包人地址</w:t>
            </w:r>
            <w:bookmarkEnd w:id="16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7" w:name="_Toc3155"/>
            <w:r>
              <w:rPr>
                <w:rFonts w:hint="eastAsia" w:ascii="宋体" w:hAnsi="宋体"/>
                <w:szCs w:val="21"/>
              </w:rPr>
              <w:t>承担的工作</w:t>
            </w:r>
            <w:bookmarkEnd w:id="167"/>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8" w:name="_Toc26600"/>
      <w:bookmarkStart w:id="169" w:name="_Toc152045811"/>
      <w:bookmarkStart w:id="170" w:name="_Toc245036715"/>
      <w:bookmarkStart w:id="171" w:name="_Toc152042600"/>
      <w:bookmarkStart w:id="172"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68"/>
      <w:bookmarkEnd w:id="169"/>
      <w:bookmarkEnd w:id="170"/>
      <w:bookmarkEnd w:id="171"/>
      <w:bookmarkEnd w:id="172"/>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3" w:name="_Toc5773"/>
            <w:bookmarkStart w:id="174" w:name="_Toc245036716"/>
            <w:bookmarkStart w:id="175" w:name="_Toc144974880"/>
            <w:bookmarkStart w:id="176" w:name="_Toc152042601"/>
            <w:bookmarkStart w:id="177" w:name="_Toc152045812"/>
            <w:r>
              <w:rPr>
                <w:rFonts w:hint="eastAsia" w:ascii="宋体" w:hAnsi="宋体"/>
                <w:szCs w:val="21"/>
              </w:rPr>
              <w:t>项目名称</w:t>
            </w:r>
            <w:bookmarkEnd w:id="173"/>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4"/>
      <w:bookmarkEnd w:id="175"/>
      <w:bookmarkEnd w:id="176"/>
      <w:bookmarkEnd w:id="177"/>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8" w:name="_Toc675"/>
      <w:bookmarkStart w:id="179" w:name="_Toc152042602"/>
      <w:bookmarkStart w:id="180" w:name="_Toc152045813"/>
      <w:bookmarkStart w:id="181" w:name="_Toc245036717"/>
      <w:bookmarkStart w:id="182" w:name="_Toc144974881"/>
      <w:r>
        <w:rPr>
          <w:rFonts w:hint="eastAsia" w:ascii="宋体" w:hAnsi="宋体"/>
        </w:rPr>
        <w:br w:type="page"/>
      </w:r>
      <w:r>
        <w:rPr>
          <w:rFonts w:hint="eastAsia" w:ascii="Calibri" w:hAnsi="Calibri" w:eastAsia="黑体" w:cs="Calibri"/>
          <w:color w:val="000000"/>
          <w:sz w:val="32"/>
          <w:szCs w:val="32"/>
        </w:rPr>
        <w:t>八、</w:t>
      </w:r>
      <w:bookmarkStart w:id="183" w:name="_Toc21221"/>
      <w:bookmarkEnd w:id="178"/>
      <w:bookmarkEnd w:id="179"/>
      <w:bookmarkEnd w:id="180"/>
      <w:bookmarkEnd w:id="181"/>
      <w:bookmarkEnd w:id="182"/>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3"/>
    <w:p>
      <w:pPr>
        <w:overflowPunct w:val="0"/>
        <w:autoSpaceDE w:val="0"/>
        <w:autoSpaceDN w:val="0"/>
        <w:spacing w:line="440" w:lineRule="exact"/>
        <w:ind w:left="839" w:hanging="839"/>
        <w:jc w:val="center"/>
        <w:rPr>
          <w:rFonts w:ascii="宋体" w:hAnsi="宋体" w:cs="宋体"/>
          <w:b/>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2 -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杭州萧山国际机场新建东区摆渡车停靠场地工程施工招标文件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F89913"/>
    <w:multiLevelType w:val="singleLevel"/>
    <w:tmpl w:val="5DF89913"/>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4">
    <w:nsid w:val="5DF89934"/>
    <w:multiLevelType w:val="singleLevel"/>
    <w:tmpl w:val="5DF8993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5">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542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rFonts w:ascii="Times New Roman" w:hAnsi="Times New Roman" w:eastAsia="宋体" w:cs="Times New Roman"/>
      <w:b/>
      <w:bCs/>
      <w:lang w:val="en-US" w:eastAsia="zh-CN" w:bidi="ar-SA"/>
    </w:rPr>
  </w:style>
  <w:style w:type="character" w:styleId="54">
    <w:name w:val="page number"/>
    <w:basedOn w:val="52"/>
    <w:qFormat/>
    <w:uiPriority w:val="0"/>
    <w:rPr>
      <w:rFonts w:ascii="Times New Roman" w:hAnsi="Times New Roman" w:eastAsia="宋体" w:cs="Times New Roman"/>
      <w:lang w:val="en-US" w:eastAsia="zh-CN" w:bidi="ar-SA"/>
    </w:rPr>
  </w:style>
  <w:style w:type="character" w:styleId="55">
    <w:name w:val="FollowedHyperlink"/>
    <w:unhideWhenUsed/>
    <w:qFormat/>
    <w:uiPriority w:val="99"/>
    <w:rPr>
      <w:rFonts w:ascii="Times New Roman" w:hAnsi="Times New Roman" w:eastAsia="宋体" w:cs="Times New Roman"/>
      <w:color w:val="800080"/>
      <w:u w:val="single"/>
      <w:lang w:val="en-US" w:eastAsia="zh-CN" w:bidi="ar-SA"/>
    </w:rPr>
  </w:style>
  <w:style w:type="character" w:styleId="56">
    <w:name w:val="Hyperlink"/>
    <w:qFormat/>
    <w:uiPriority w:val="99"/>
    <w:rPr>
      <w:rFonts w:ascii="Times New Roman" w:hAnsi="Times New Roman" w:eastAsia="宋体" w:cs="Times New Roman"/>
      <w:color w:val="0000FF"/>
      <w:u w:val="single"/>
      <w:lang w:val="en-US" w:eastAsia="zh-CN" w:bidi="ar-SA"/>
    </w:rPr>
  </w:style>
  <w:style w:type="character" w:styleId="57">
    <w:name w:val="annotation reference"/>
    <w:semiHidden/>
    <w:qFormat/>
    <w:uiPriority w:val="0"/>
    <w:rPr>
      <w:rFonts w:ascii="Times New Roman" w:hAnsi="Times New Roman" w:eastAsia="宋体" w:cs="Times New Roman"/>
      <w:sz w:val="21"/>
      <w:szCs w:val="21"/>
      <w:lang w:val="en-US" w:eastAsia="zh-CN" w:bidi="ar-SA"/>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88">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89">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90">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91">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92">
    <w:name w:val="标题 6 Char"/>
    <w:basedOn w:val="52"/>
    <w:link w:val="7"/>
    <w:qFormat/>
    <w:uiPriority w:val="0"/>
    <w:rPr>
      <w:rFonts w:ascii="Arial" w:hAnsi="Arial" w:eastAsia="黑体" w:cs="Times New Roman"/>
      <w:b/>
      <w:bCs/>
      <w:kern w:val="0"/>
      <w:lang w:val="en-US" w:eastAsia="zh-CN" w:bidi="ar-SA"/>
    </w:rPr>
  </w:style>
  <w:style w:type="character" w:customStyle="1" w:styleId="93">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94">
    <w:name w:val="标题 8 Char"/>
    <w:basedOn w:val="52"/>
    <w:link w:val="9"/>
    <w:qFormat/>
    <w:uiPriority w:val="0"/>
    <w:rPr>
      <w:rFonts w:ascii="Arial" w:hAnsi="Arial" w:eastAsia="黑体" w:cs="Times New Roman"/>
      <w:kern w:val="0"/>
      <w:lang w:val="en-US" w:eastAsia="zh-CN" w:bidi="ar-SA"/>
    </w:rPr>
  </w:style>
  <w:style w:type="character" w:customStyle="1" w:styleId="95">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96">
    <w:name w:val="日期 Char"/>
    <w:link w:val="33"/>
    <w:qFormat/>
    <w:uiPriority w:val="0"/>
    <w:rPr>
      <w:rFonts w:ascii="Times New Roman" w:hAnsi="Times New Roman" w:eastAsia="宋体" w:cs="Times New Roman"/>
      <w:kern w:val="0"/>
      <w:sz w:val="20"/>
      <w:lang w:val="en-US" w:eastAsia="zh-CN" w:bidi="ar-SA"/>
    </w:rPr>
  </w:style>
  <w:style w:type="character" w:customStyle="1" w:styleId="97">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98">
    <w:name w:val="正文文本 2 Char"/>
    <w:link w:val="46"/>
    <w:qFormat/>
    <w:uiPriority w:val="0"/>
    <w:rPr>
      <w:rFonts w:ascii="Times New Roman" w:hAnsi="Times New Roman" w:eastAsia="宋体" w:cs="Times New Roman"/>
      <w:kern w:val="0"/>
      <w:sz w:val="20"/>
      <w:lang w:val="en-US" w:eastAsia="zh-CN" w:bidi="ar-SA"/>
    </w:rPr>
  </w:style>
  <w:style w:type="character" w:customStyle="1" w:styleId="99">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100">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Char"/>
    <w:link w:val="31"/>
    <w:qFormat/>
    <w:uiPriority w:val="0"/>
    <w:rPr>
      <w:rFonts w:ascii="宋体" w:hAnsi="Courier New" w:eastAsia="宋体" w:cs="Times New Roman"/>
      <w:kern w:val="0"/>
      <w:sz w:val="20"/>
      <w:szCs w:val="21"/>
      <w:lang w:val="en-US" w:eastAsia="zh-CN" w:bidi="ar-SA"/>
    </w:rPr>
  </w:style>
  <w:style w:type="character" w:customStyle="1" w:styleId="103">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106">
    <w:name w:val="正文首行缩进 2 Char"/>
    <w:link w:val="37"/>
    <w:qFormat/>
    <w:uiPriority w:val="0"/>
    <w:rPr>
      <w:rFonts w:ascii="Times New Roman" w:hAnsi="Times New Roman" w:eastAsia="宋体" w:cs="Times New Roman"/>
      <w:szCs w:val="24"/>
      <w:lang w:val="en-US" w:eastAsia="zh-CN" w:bidi="ar-SA"/>
    </w:rPr>
  </w:style>
  <w:style w:type="character" w:customStyle="1" w:styleId="107">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09">
    <w:name w:val="font71"/>
    <w:qFormat/>
    <w:uiPriority w:val="0"/>
    <w:rPr>
      <w:rFonts w:hint="eastAsia" w:ascii="宋体" w:hAnsi="宋体" w:eastAsia="宋体" w:cs="宋体"/>
      <w:color w:val="000000"/>
      <w:sz w:val="24"/>
      <w:szCs w:val="24"/>
      <w:u w:val="none"/>
      <w:lang w:val="en-US" w:eastAsia="zh-CN" w:bidi="ar-SA"/>
    </w:rPr>
  </w:style>
  <w:style w:type="character" w:customStyle="1" w:styleId="110">
    <w:name w:val="zbggmain style9"/>
    <w:basedOn w:val="52"/>
    <w:qFormat/>
    <w:uiPriority w:val="0"/>
    <w:rPr>
      <w:rFonts w:ascii="Times New Roman" w:hAnsi="Times New Roman" w:eastAsia="宋体" w:cs="Times New Roman"/>
      <w:lang w:val="en-US" w:eastAsia="zh-CN" w:bidi="ar-SA"/>
    </w:rPr>
  </w:style>
  <w:style w:type="character" w:customStyle="1" w:styleId="111">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112">
    <w:name w:val="px1233"/>
    <w:basedOn w:val="52"/>
    <w:qFormat/>
    <w:uiPriority w:val="0"/>
    <w:rPr>
      <w:rFonts w:ascii="Times New Roman" w:hAnsi="Times New Roman" w:eastAsia="宋体" w:cs="Times New Roman"/>
      <w:lang w:val="en-US" w:eastAsia="zh-CN" w:bidi="ar-SA"/>
    </w:rPr>
  </w:style>
  <w:style w:type="character" w:customStyle="1" w:styleId="113">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114">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115">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116">
    <w:name w:val="font41"/>
    <w:qFormat/>
    <w:uiPriority w:val="0"/>
    <w:rPr>
      <w:rFonts w:hint="eastAsia" w:ascii="宋体" w:hAnsi="宋体" w:eastAsia="宋体" w:cs="宋体"/>
      <w:b/>
      <w:color w:val="000000"/>
      <w:sz w:val="24"/>
      <w:szCs w:val="24"/>
      <w:u w:val="none"/>
      <w:lang w:val="en-US" w:eastAsia="zh-CN" w:bidi="ar-SA"/>
    </w:rPr>
  </w:style>
  <w:style w:type="character" w:customStyle="1" w:styleId="117">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118">
    <w:name w:val="正文首行缩进 Char"/>
    <w:basedOn w:val="119"/>
    <w:link w:val="15"/>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lang w:val="en-US" w:eastAsia="zh-CN" w:bidi="ar-SA"/>
    </w:rPr>
  </w:style>
  <w:style w:type="character" w:customStyle="1" w:styleId="122">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123">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124">
    <w:name w:val="标题 Char"/>
    <w:link w:val="51"/>
    <w:qFormat/>
    <w:uiPriority w:val="0"/>
    <w:rPr>
      <w:rFonts w:ascii="Times New Roman" w:hAnsi="Times New Roman" w:eastAsia="黑体" w:cs="Times New Roman"/>
      <w:b/>
      <w:bCs/>
      <w:kern w:val="0"/>
      <w:sz w:val="32"/>
      <w:szCs w:val="32"/>
      <w:lang w:val="en-US" w:eastAsia="zh-CN" w:bidi="ar-SA"/>
    </w:rPr>
  </w:style>
  <w:style w:type="character" w:customStyle="1" w:styleId="125">
    <w:name w:val="批注框文本字符1"/>
    <w:basedOn w:val="52"/>
    <w:semiHidden/>
    <w:qFormat/>
    <w:uiPriority w:val="99"/>
    <w:rPr>
      <w:rFonts w:ascii="Heiti SC Light" w:hAnsi="Times New Roman" w:eastAsia="Heiti SC Light" w:cs="Times New Roman"/>
      <w:sz w:val="18"/>
      <w:szCs w:val="18"/>
      <w:lang w:val="en-US" w:eastAsia="zh-CN" w:bidi="ar-SA"/>
    </w:rPr>
  </w:style>
  <w:style w:type="character" w:customStyle="1" w:styleId="126">
    <w:name w:val="日期字符1"/>
    <w:basedOn w:val="52"/>
    <w:semiHidden/>
    <w:qFormat/>
    <w:uiPriority w:val="99"/>
    <w:rPr>
      <w:rFonts w:ascii="Times New Roman" w:hAnsi="Times New Roman" w:eastAsia="宋体" w:cs="Times New Roman"/>
      <w:lang w:val="en-US" w:eastAsia="zh-CN" w:bidi="ar-SA"/>
    </w:rPr>
  </w:style>
  <w:style w:type="character" w:customStyle="1" w:styleId="127">
    <w:name w:val="纯文本字符1"/>
    <w:basedOn w:val="52"/>
    <w:semiHidden/>
    <w:qFormat/>
    <w:uiPriority w:val="99"/>
    <w:rPr>
      <w:rFonts w:ascii="宋体" w:hAnsi="Courier" w:eastAsia="宋体" w:cs="Times New Roman"/>
      <w:lang w:val="en-US" w:eastAsia="zh-CN" w:bidi="ar-SA"/>
    </w:rPr>
  </w:style>
  <w:style w:type="character" w:customStyle="1" w:styleId="128">
    <w:name w:val="批注文字 Char"/>
    <w:basedOn w:val="52"/>
    <w:link w:val="13"/>
    <w:semiHidden/>
    <w:qFormat/>
    <w:uiPriority w:val="99"/>
    <w:rPr>
      <w:rFonts w:ascii="Times New Roman" w:hAnsi="Times New Roman" w:eastAsia="宋体" w:cs="Times New Roman"/>
      <w:lang w:val="en-US" w:eastAsia="zh-CN" w:bidi="ar-SA"/>
    </w:rPr>
  </w:style>
  <w:style w:type="character" w:customStyle="1" w:styleId="129">
    <w:name w:val="批注主题字符1"/>
    <w:basedOn w:val="128"/>
    <w:semiHidden/>
    <w:qFormat/>
    <w:uiPriority w:val="99"/>
    <w:rPr>
      <w:b/>
      <w:bCs/>
    </w:rPr>
  </w:style>
  <w:style w:type="character" w:customStyle="1" w:styleId="130">
    <w:name w:val="正文文本 Char"/>
    <w:basedOn w:val="52"/>
    <w:link w:val="16"/>
    <w:semiHidden/>
    <w:qFormat/>
    <w:uiPriority w:val="99"/>
    <w:rPr>
      <w:rFonts w:ascii="Times New Roman" w:hAnsi="Times New Roman" w:eastAsia="宋体" w:cs="Times New Roman"/>
      <w:lang w:val="en-US" w:eastAsia="zh-CN" w:bidi="ar-SA"/>
    </w:rPr>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rFonts w:ascii="Times New Roman" w:hAnsi="Times New Roman" w:eastAsia="宋体" w:cs="Times New Roman"/>
      <w:sz w:val="16"/>
      <w:szCs w:val="16"/>
      <w:lang w:val="en-US" w:eastAsia="zh-CN" w:bidi="ar-SA"/>
    </w:rPr>
  </w:style>
  <w:style w:type="character" w:customStyle="1" w:styleId="133">
    <w:name w:val="文档结构图 字符1"/>
    <w:basedOn w:val="52"/>
    <w:semiHidden/>
    <w:qFormat/>
    <w:uiPriority w:val="99"/>
    <w:rPr>
      <w:rFonts w:ascii="Heiti SC Light" w:hAnsi="Times New Roman" w:eastAsia="Heiti SC Light" w:cs="Times New Roman"/>
      <w:lang w:val="en-US" w:eastAsia="zh-CN" w:bidi="ar-SA"/>
    </w:rPr>
  </w:style>
  <w:style w:type="character" w:customStyle="1" w:styleId="134">
    <w:name w:val="正文文本 3字符1"/>
    <w:basedOn w:val="52"/>
    <w:semiHidden/>
    <w:qFormat/>
    <w:uiPriority w:val="99"/>
    <w:rPr>
      <w:rFonts w:ascii="Times New Roman" w:hAnsi="Times New Roman" w:eastAsia="宋体" w:cs="Times New Roman"/>
      <w:sz w:val="16"/>
      <w:szCs w:val="16"/>
      <w:lang w:val="en-US" w:eastAsia="zh-CN" w:bidi="ar-SA"/>
    </w:rPr>
  </w:style>
  <w:style w:type="character" w:customStyle="1" w:styleId="135">
    <w:name w:val="正文文本缩进字符1"/>
    <w:basedOn w:val="52"/>
    <w:semiHidden/>
    <w:qFormat/>
    <w:uiPriority w:val="99"/>
    <w:rPr>
      <w:rFonts w:ascii="Times New Roman" w:hAnsi="Times New Roman" w:eastAsia="宋体" w:cs="Times New Roman"/>
      <w:lang w:val="en-US" w:eastAsia="zh-CN" w:bidi="ar-SA"/>
    </w:rPr>
  </w:style>
  <w:style w:type="character" w:customStyle="1" w:styleId="136">
    <w:name w:val="正文文本缩进 2字符1"/>
    <w:basedOn w:val="52"/>
    <w:semiHidden/>
    <w:qFormat/>
    <w:uiPriority w:val="99"/>
    <w:rPr>
      <w:rFonts w:ascii="Times New Roman" w:hAnsi="Times New Roman" w:eastAsia="宋体" w:cs="Times New Roman"/>
      <w:lang w:val="en-US" w:eastAsia="zh-CN" w:bidi="ar-SA"/>
    </w:rPr>
  </w:style>
  <w:style w:type="character" w:customStyle="1" w:styleId="137">
    <w:name w:val="页脚字符1"/>
    <w:basedOn w:val="52"/>
    <w:semiHidden/>
    <w:qFormat/>
    <w:uiPriority w:val="99"/>
    <w:rPr>
      <w:rFonts w:ascii="Times New Roman" w:hAnsi="Times New Roman" w:eastAsia="宋体" w:cs="Times New Roman"/>
      <w:sz w:val="18"/>
      <w:szCs w:val="18"/>
      <w:lang w:val="en-US" w:eastAsia="zh-CN" w:bidi="ar-SA"/>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rFonts w:ascii="Times New Roman" w:hAnsi="Times New Roman" w:eastAsia="宋体" w:cs="Times New Roman"/>
      <w:sz w:val="18"/>
      <w:szCs w:val="18"/>
      <w:lang w:val="en-US" w:eastAsia="zh-CN" w:bidi="ar-SA"/>
    </w:rPr>
  </w:style>
  <w:style w:type="character" w:customStyle="1" w:styleId="140">
    <w:name w:val="正文文本 2字符1"/>
    <w:basedOn w:val="52"/>
    <w:semiHidden/>
    <w:qFormat/>
    <w:uiPriority w:val="99"/>
    <w:rPr>
      <w:rFonts w:ascii="Times New Roman" w:hAnsi="Times New Roman" w:eastAsia="宋体" w:cs="Times New Roman"/>
      <w:lang w:val="en-US" w:eastAsia="zh-CN" w:bidi="ar-SA"/>
    </w:rPr>
  </w:style>
  <w:style w:type="character" w:customStyle="1" w:styleId="141">
    <w:name w:val="标题字符1"/>
    <w:basedOn w:val="52"/>
    <w:qFormat/>
    <w:uiPriority w:val="10"/>
    <w:rPr>
      <w:rFonts w:ascii="Calibri" w:hAnsi="Calibri" w:eastAsia="宋体" w:cs="黑体"/>
      <w:b/>
      <w:bCs/>
      <w:sz w:val="32"/>
      <w:szCs w:val="32"/>
      <w:lang w:val="en-US" w:eastAsia="zh-CN" w:bidi="ar-SA"/>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54</Pages>
  <Words>5828</Words>
  <Characters>33220</Characters>
  <Lines>276</Lines>
  <Paragraphs>77</Paragraphs>
  <TotalTime>0</TotalTime>
  <ScaleCrop>false</ScaleCrop>
  <LinksUpToDate>false</LinksUpToDate>
  <CharactersWithSpaces>38971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2019-12-09T00:18:00Z</dcterms:created>
  <dc:creator>y z</dc:creator>
  <cp:lastModifiedBy>张文娴</cp:lastModifiedBy>
  <dcterms:modified xsi:type="dcterms:W3CDTF">2019-12-17T09:04:37Z</dcterms:modified>
  <dc:title>杭州萧山国际机场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