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杭州萧山国际机场宣传显示屏采购及安装项目</w:t>
      </w: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lang w:val="en-US" w:eastAsia="zh-CN"/>
        </w:rPr>
        <w:t>（重新招标）</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黑体" w:cs="Calibri"/>
          <w:sz w:val="32"/>
          <w:szCs w:val="32"/>
        </w:rPr>
      </w:pPr>
      <w:r>
        <w:rPr>
          <w:rFonts w:hint="eastAsia" w:ascii="Calibri" w:hAnsi="Calibri" w:eastAsia="黑体" w:cs="Calibri"/>
          <w:sz w:val="32"/>
          <w:szCs w:val="32"/>
        </w:rPr>
        <w:t>20</w:t>
      </w:r>
      <w:r>
        <w:rPr>
          <w:rFonts w:hint="eastAsia" w:ascii="Calibri" w:hAnsi="Calibri" w:eastAsia="黑体" w:cs="Calibri"/>
          <w:sz w:val="32"/>
          <w:szCs w:val="32"/>
          <w:lang w:val="en-US" w:eastAsia="zh-CN"/>
        </w:rPr>
        <w:t>20</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1</w:t>
      </w:r>
      <w:r>
        <w:rPr>
          <w:rFonts w:ascii="Calibri" w:hAnsi="Calibri" w:eastAsia="黑体" w:cs="Calibri"/>
          <w:sz w:val="32"/>
          <w:szCs w:val="32"/>
        </w:rPr>
        <w:t>月</w:t>
      </w:r>
    </w:p>
    <w:p>
      <w:pPr>
        <w:pStyle w:val="4"/>
        <w:spacing w:line="480" w:lineRule="auto"/>
        <w:rPr>
          <w:rFonts w:ascii="Calibri" w:hAnsi="Calibri" w:eastAsia="黑体" w:cs="Calibri"/>
          <w:sz w:val="32"/>
          <w:szCs w:val="32"/>
        </w:rPr>
      </w:pPr>
    </w:p>
    <w:p>
      <w:pPr>
        <w:pStyle w:val="15"/>
        <w:ind w:firstLine="0" w:firstLineChars="0"/>
        <w:rPr>
          <w:rFonts w:ascii="Calibri" w:hAnsi="Calibri" w:eastAsia="楷体_GB2312" w:cs="Calibri"/>
          <w:kern w:val="0"/>
          <w:sz w:val="24"/>
          <w:szCs w:val="24"/>
          <w:u w:val="single"/>
        </w:rPr>
      </w:pPr>
      <w:bookmarkStart w:id="0" w:name="_Toc386363314"/>
      <w:bookmarkStart w:id="1" w:name="_Toc349011855"/>
      <w:bookmarkStart w:id="2" w:name="_Toc349007685"/>
      <w:bookmarkStart w:id="3" w:name="_Toc386359390"/>
    </w:p>
    <w:p>
      <w:pPr>
        <w:pStyle w:val="15"/>
        <w:ind w:firstLine="0" w:firstLineChars="0"/>
        <w:rPr>
          <w:rFonts w:ascii="Calibri" w:hAnsi="Calibri" w:eastAsia="楷体_GB2312" w:cs="Calibri"/>
          <w:kern w:val="0"/>
          <w:sz w:val="24"/>
          <w:szCs w:val="24"/>
          <w:u w:val="single"/>
        </w:rPr>
      </w:pPr>
    </w:p>
    <w:p>
      <w:pPr>
        <w:pStyle w:val="15"/>
        <w:ind w:firstLine="0" w:firstLineChars="0"/>
        <w:rPr>
          <w:rFonts w:ascii="Calibri" w:hAnsi="Calibri" w:eastAsia="楷体_GB2312" w:cs="Calibri"/>
          <w:kern w:val="0"/>
          <w:sz w:val="24"/>
          <w:szCs w:val="24"/>
          <w:u w:val="single"/>
        </w:rPr>
      </w:pPr>
    </w:p>
    <w:p>
      <w:pPr>
        <w:pStyle w:val="15"/>
        <w:ind w:firstLine="0" w:firstLineChars="0"/>
      </w:pPr>
    </w:p>
    <w:p>
      <w:pPr>
        <w:pStyle w:val="9"/>
        <w:rPr>
          <w:rFonts w:ascii="Calibri" w:hAnsi="Calibri" w:cs="Calibri"/>
          <w:b/>
          <w:sz w:val="44"/>
        </w:rPr>
      </w:pPr>
      <w:bookmarkStart w:id="4" w:name="_Toc444173456"/>
      <w:bookmarkStart w:id="5" w:name="_Toc444174976"/>
      <w:bookmarkStart w:id="6" w:name="_Toc448002981"/>
      <w:bookmarkStart w:id="7" w:name="_Toc13136"/>
      <w:bookmarkStart w:id="8" w:name="_Toc400369182"/>
      <w:bookmarkStart w:id="9" w:name="_Toc9351378"/>
      <w:bookmarkStart w:id="10" w:name="_Toc444811406"/>
      <w:bookmarkStart w:id="11" w:name="_Toc478453289"/>
      <w:r>
        <w:rPr>
          <w:rFonts w:ascii="Calibri" w:cs="Calibri"/>
          <w:b/>
          <w:sz w:val="44"/>
        </w:rPr>
        <w:t>目</w:t>
      </w:r>
      <w:r>
        <w:rPr>
          <w:rFonts w:ascii="Calibri" w:hAnsi="Calibri" w:cs="Calibri"/>
          <w:b/>
          <w:sz w:val="44"/>
        </w:rPr>
        <w:t xml:space="preserve">  </w:t>
      </w:r>
      <w:r>
        <w:rPr>
          <w:rFonts w:ascii="Calibri" w:cs="Calibri"/>
          <w:b/>
          <w:sz w:val="44"/>
        </w:rPr>
        <w:t>录</w:t>
      </w:r>
      <w:bookmarkEnd w:id="0"/>
      <w:bookmarkEnd w:id="1"/>
      <w:bookmarkEnd w:id="2"/>
      <w:bookmarkEnd w:id="3"/>
      <w:bookmarkEnd w:id="4"/>
      <w:bookmarkEnd w:id="5"/>
      <w:bookmarkEnd w:id="6"/>
      <w:bookmarkEnd w:id="7"/>
      <w:bookmarkEnd w:id="8"/>
      <w:bookmarkEnd w:id="9"/>
      <w:bookmarkEnd w:id="10"/>
      <w:bookmarkEnd w:id="11"/>
    </w:p>
    <w:p>
      <w:pPr>
        <w:pStyle w:val="9"/>
        <w:tabs>
          <w:tab w:val="right" w:leader="dot" w:pos="8306"/>
          <w:tab w:val="clear" w:pos="8659"/>
        </w:tabs>
        <w:rPr>
          <w:rFonts w:ascii="Calibri" w:hAnsi="Calibri"/>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"_Toc20105" </w:instrText>
      </w:r>
      <w:r>
        <w:fldChar w:fldCharType="separate"/>
      </w:r>
      <w:r>
        <w:rPr>
          <w:rFonts w:ascii="Calibri" w:hAnsi="Calibri" w:eastAsia="黑体" w:cs="Calibri"/>
          <w:kern w:val="0"/>
          <w:szCs w:val="22"/>
        </w:rPr>
        <w:t xml:space="preserve">第一章 </w:t>
      </w:r>
      <w:r>
        <w:rPr>
          <w:rFonts w:hint="eastAsia" w:ascii="Calibri" w:hAnsi="Calibri" w:eastAsia="黑体" w:cs="Calibri"/>
          <w:kern w:val="0"/>
          <w:szCs w:val="22"/>
        </w:rPr>
        <w:t>招标公告</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_Toc20105 </w:instrText>
      </w:r>
      <w:r>
        <w:rPr>
          <w:rFonts w:ascii="Calibri" w:hAnsi="Calibri"/>
          <w:kern w:val="2"/>
          <w:szCs w:val="22"/>
        </w:rPr>
        <w:fldChar w:fldCharType="separate"/>
      </w:r>
      <w:r>
        <w:rPr>
          <w:rFonts w:ascii="Calibri" w:hAnsi="Calibri"/>
          <w:kern w:val="2"/>
          <w:szCs w:val="22"/>
        </w:rPr>
        <w:t>3</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"_Toc22936" </w:instrText>
      </w:r>
      <w:r>
        <w:fldChar w:fldCharType="separate"/>
      </w:r>
      <w:r>
        <w:rPr>
          <w:rFonts w:ascii="Calibri" w:hAnsi="Calibri" w:eastAsia="黑体" w:cs="Calibri"/>
          <w:kern w:val="0"/>
          <w:szCs w:val="22"/>
        </w:rPr>
        <w:t>第二章  投标人须知</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_Toc22936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"_Toc20012" </w:instrText>
      </w:r>
      <w:r>
        <w:fldChar w:fldCharType="separate"/>
      </w:r>
      <w:r>
        <w:rPr>
          <w:rFonts w:ascii="Calibri" w:hAnsi="Arial" w:eastAsia="黑体" w:cs="Calibri"/>
          <w:kern w:val="2"/>
          <w:szCs w:val="32"/>
        </w:rPr>
        <w:t>投标人须知前附表</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_Toc20012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"_Toc27483"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三</w:t>
      </w:r>
      <w:r>
        <w:rPr>
          <w:rFonts w:ascii="Calibri" w:hAnsi="Calibri" w:eastAsia="黑体" w:cs="Calibri"/>
          <w:kern w:val="0"/>
          <w:szCs w:val="22"/>
        </w:rPr>
        <w:t>章</w:t>
      </w:r>
      <w:r>
        <w:rPr>
          <w:rFonts w:hint="eastAsia" w:ascii="Calibri" w:hAnsi="Calibri" w:eastAsia="黑体" w:cs="Calibri"/>
          <w:kern w:val="0"/>
          <w:szCs w:val="22"/>
        </w:rPr>
        <w:t xml:space="preserve"> 采购内容、技术标准及要求</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_Toc27483 </w:instrText>
      </w:r>
      <w:r>
        <w:rPr>
          <w:rFonts w:ascii="Calibri" w:hAnsi="Calibri"/>
          <w:kern w:val="2"/>
          <w:szCs w:val="22"/>
        </w:rPr>
        <w:fldChar w:fldCharType="separate"/>
      </w:r>
      <w:r>
        <w:rPr>
          <w:rFonts w:ascii="Calibri" w:hAnsi="Calibri"/>
          <w:kern w:val="2"/>
          <w:szCs w:val="22"/>
        </w:rPr>
        <w:t>14</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"_Toc11897" </w:instrText>
      </w:r>
      <w:r>
        <w:fldChar w:fldCharType="separate"/>
      </w:r>
      <w:r>
        <w:rPr>
          <w:rFonts w:hint="eastAsia" w:ascii="Calibri" w:hAnsi="Calibri" w:eastAsia="黑体" w:cs="Calibri"/>
          <w:kern w:val="0"/>
          <w:szCs w:val="22"/>
        </w:rPr>
        <w:t xml:space="preserve">第四章  </w:t>
      </w:r>
      <w:r>
        <w:rPr>
          <w:rFonts w:ascii="Calibri" w:hAnsi="Calibri" w:eastAsia="黑体" w:cs="Calibri"/>
          <w:kern w:val="0"/>
          <w:szCs w:val="22"/>
        </w:rPr>
        <w:t>合同条款</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_Toc11897 </w:instrText>
      </w:r>
      <w:r>
        <w:rPr>
          <w:rFonts w:ascii="Calibri" w:hAnsi="Calibri"/>
          <w:kern w:val="2"/>
          <w:szCs w:val="22"/>
        </w:rPr>
        <w:fldChar w:fldCharType="separate"/>
      </w:r>
      <w:r>
        <w:rPr>
          <w:rFonts w:ascii="Calibri" w:hAnsi="Calibri"/>
          <w:kern w:val="2"/>
          <w:szCs w:val="22"/>
        </w:rPr>
        <w:t>19</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"_Toc25339"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五</w:t>
      </w:r>
      <w:r>
        <w:rPr>
          <w:rFonts w:ascii="Calibri" w:hAnsi="Calibri" w:eastAsia="黑体" w:cs="Calibri"/>
          <w:kern w:val="0"/>
          <w:szCs w:val="22"/>
        </w:rPr>
        <w:t>章  评标方法及标准</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_Toc25339 </w:instrText>
      </w:r>
      <w:r>
        <w:rPr>
          <w:rFonts w:ascii="Calibri" w:hAnsi="Calibri"/>
          <w:kern w:val="2"/>
          <w:szCs w:val="22"/>
        </w:rPr>
        <w:fldChar w:fldCharType="separate"/>
      </w:r>
      <w:r>
        <w:rPr>
          <w:rFonts w:ascii="Calibri" w:hAnsi="Calibri"/>
          <w:kern w:val="2"/>
          <w:szCs w:val="22"/>
        </w:rPr>
        <w:t>37</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"_Toc14922"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六</w:t>
      </w:r>
      <w:r>
        <w:rPr>
          <w:rFonts w:ascii="Calibri" w:hAnsi="Calibri" w:eastAsia="黑体" w:cs="Calibri"/>
          <w:kern w:val="0"/>
          <w:szCs w:val="22"/>
        </w:rPr>
        <w:t>章  投标文件格式</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_Toc14922 </w:instrText>
      </w:r>
      <w:r>
        <w:rPr>
          <w:rFonts w:ascii="Calibri" w:hAnsi="Calibri"/>
          <w:kern w:val="2"/>
          <w:szCs w:val="22"/>
        </w:rPr>
        <w:fldChar w:fldCharType="separate"/>
      </w:r>
      <w:r>
        <w:rPr>
          <w:rFonts w:ascii="Calibri" w:hAnsi="Calibri"/>
          <w:kern w:val="2"/>
          <w:szCs w:val="22"/>
        </w:rPr>
        <w:t>41</w:t>
      </w:r>
      <w:r>
        <w:rPr>
          <w:rFonts w:ascii="Calibri" w:hAnsi="Calibri"/>
          <w:kern w:val="2"/>
          <w:szCs w:val="22"/>
        </w:rPr>
        <w:fldChar w:fldCharType="end"/>
      </w:r>
      <w:r>
        <w:rPr>
          <w:rFonts w:ascii="Calibri" w:hAnsi="Calibri"/>
          <w:kern w:val="2"/>
          <w:szCs w:val="22"/>
        </w:rPr>
        <w:fldChar w:fldCharType="end"/>
      </w:r>
    </w:p>
    <w:p>
      <w:pPr>
        <w:spacing w:line="480" w:lineRule="auto"/>
        <w:rPr>
          <w:rFonts w:cs="Calibri"/>
          <w:sz w:val="24"/>
        </w:rPr>
      </w:pPr>
      <w:r>
        <w:rPr>
          <w:rFonts w:hint="eastAsia" w:ascii="黑体" w:hAnsi="黑体" w:eastAsia="黑体" w:cs="Calibri"/>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2" w:name="_Toc8110"/>
      <w:bookmarkStart w:id="13" w:name="_Toc22293"/>
      <w:bookmarkStart w:id="14" w:name="_Toc18642"/>
      <w:bookmarkStart w:id="15" w:name="_Toc6832"/>
      <w:bookmarkStart w:id="16" w:name="_Toc14628"/>
      <w:bookmarkStart w:id="17" w:name="_Toc7641"/>
      <w:bookmarkStart w:id="18" w:name="_Toc6581"/>
      <w:bookmarkStart w:id="19" w:name="_Toc24784"/>
      <w:bookmarkStart w:id="20" w:name="_Toc24932"/>
      <w:bookmarkStart w:id="21" w:name="_Toc20105"/>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276" w:lineRule="auto"/>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1)在综合服务保障大楼1号职工食堂一楼大厅、T3航站楼食堂、宿舍员工食堂安装宣传显示大屏。1号职工食堂一楼大厅安装1套面积约为8.64m</w:t>
      </w:r>
      <w:r>
        <w:rPr>
          <w:rFonts w:hint="eastAsia" w:ascii="Arial" w:hAnsi="Arial" w:cs="Arial"/>
          <w:bCs/>
          <w:kern w:val="0"/>
          <w:sz w:val="22"/>
          <w:vertAlign w:val="superscript"/>
        </w:rPr>
        <w:t>2</w:t>
      </w:r>
      <w:r>
        <w:rPr>
          <w:rFonts w:hint="eastAsia" w:ascii="宋体" w:hAnsi="宋体"/>
          <w:sz w:val="24"/>
          <w:szCs w:val="24"/>
        </w:rPr>
        <w:t>（3.63m*2.38m）的</w:t>
      </w:r>
      <w:r>
        <w:rPr>
          <w:rFonts w:hint="eastAsia" w:ascii="Arial" w:hAnsi="Arial" w:cs="Arial"/>
          <w:bCs/>
          <w:kern w:val="0"/>
          <w:sz w:val="22"/>
        </w:rPr>
        <w:t>LED小间距全彩显示大屏和1台控制电脑,原单色LED屏迁移至食堂二楼。T3航站楼、宿舍员工食堂分别安装1台LCD工业液晶显示屏和1台瘦客户机。</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2）工会办公室安装1台发布电脑，信导部安装1台维护电脑。将这2台电脑与3处屏幕组成局域网，通过网络发布宣传视频或图片及进行远程维护。</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3）1号职工食堂一楼大厅原安装的单色LED屏搬迁至二楼，完成安装调试。</w:t>
      </w:r>
    </w:p>
    <w:p>
      <w:pPr>
        <w:widowControl/>
        <w:numPr>
          <w:ilvl w:val="0"/>
          <w:numId w:val="1"/>
        </w:numPr>
        <w:snapToGrid w:val="0"/>
        <w:spacing w:line="276" w:lineRule="auto"/>
        <w:ind w:firstLine="440" w:firstLineChars="200"/>
        <w:jc w:val="left"/>
        <w:rPr>
          <w:rFonts w:ascii="宋体" w:hAnsi="宋体" w:cs="Arial"/>
          <w:kern w:val="0"/>
          <w:sz w:val="22"/>
        </w:rPr>
      </w:pPr>
      <w:r>
        <w:rPr>
          <w:rFonts w:hint="eastAsia" w:ascii="宋体" w:hAnsi="宋体" w:cs="Arial"/>
          <w:kern w:val="0"/>
          <w:sz w:val="22"/>
        </w:rPr>
        <w:t>服务内容包含所有设备采购、运输、安装、调试以及对机场工作人员使用培训等工作。</w:t>
      </w:r>
    </w:p>
    <w:p>
      <w:pPr>
        <w:widowControl/>
        <w:numPr>
          <w:ilvl w:val="0"/>
          <w:numId w:val="1"/>
        </w:numPr>
        <w:snapToGrid w:val="0"/>
        <w:spacing w:line="276" w:lineRule="auto"/>
        <w:ind w:firstLine="440" w:firstLineChars="200"/>
        <w:jc w:val="left"/>
        <w:rPr>
          <w:rFonts w:ascii="宋体" w:hAnsi="宋体" w:cs="Arial"/>
          <w:kern w:val="0"/>
          <w:sz w:val="22"/>
        </w:rPr>
      </w:pPr>
      <w:r>
        <w:rPr>
          <w:rFonts w:hint="eastAsia" w:ascii="宋体" w:hAnsi="宋体" w:cs="Arial"/>
          <w:kern w:val="0"/>
          <w:sz w:val="22"/>
        </w:rPr>
        <w:t>实现功能：T3航站楼和宿舍员工食堂的显示屏以及</w:t>
      </w:r>
      <w:r>
        <w:rPr>
          <w:rFonts w:hint="eastAsia" w:ascii="Arial" w:hAnsi="Arial" w:cs="Arial"/>
          <w:bCs/>
          <w:kern w:val="0"/>
          <w:sz w:val="22"/>
        </w:rPr>
        <w:t>LED小间距全彩显示大屏与</w:t>
      </w:r>
      <w:r>
        <w:rPr>
          <w:rFonts w:hint="eastAsia" w:ascii="宋体" w:hAnsi="宋体" w:cs="Arial"/>
          <w:kern w:val="0"/>
          <w:sz w:val="22"/>
        </w:rPr>
        <w:t>工会办公室和信导部的电脑过网络组成局域网。工会办公室电脑可通过VNC软件管控前端的显示大屏，发布宣传视频或图片。</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“采购内容、技术标准及要求”。</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具有独立法人资格的制造商或代理商，制造商注册资金不少于人民币300万元或等值外币(按投标截止日当天中国银行公布的外汇牌价的中间价换算)，代理商注册资金不少于人民币300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3）近年（2016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276" w:lineRule="auto"/>
        <w:ind w:firstLine="440" w:firstLineChars="200"/>
        <w:rPr>
          <w:rFonts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2020年2月14日下午13时45分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2020年2月14日下午13时45分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2020年2月14日下午13时45分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0571-83837612</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rPr>
          <w:rFonts w:eastAsia="黑体" w:cs="Calibri"/>
          <w:kern w:val="0"/>
          <w:sz w:val="32"/>
        </w:rPr>
      </w:pPr>
    </w:p>
    <w:p>
      <w:pPr>
        <w:pStyle w:val="2"/>
        <w:spacing w:before="0" w:after="0" w:line="360" w:lineRule="auto"/>
        <w:jc w:val="center"/>
        <w:rPr>
          <w:rFonts w:ascii="Calibri" w:hAnsi="Calibri" w:eastAsia="黑体" w:cs="Calibri"/>
          <w:kern w:val="0"/>
          <w:sz w:val="32"/>
        </w:rPr>
      </w:pPr>
      <w:bookmarkStart w:id="24" w:name="_Toc22936"/>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22"/>
      <w:bookmarkEnd w:id="23"/>
      <w:bookmarkEnd w:id="24"/>
      <w:bookmarkStart w:id="25" w:name="_Toc143421654"/>
    </w:p>
    <w:p>
      <w:pPr>
        <w:pStyle w:val="16"/>
        <w:jc w:val="center"/>
        <w:rPr>
          <w:rFonts w:ascii="Calibri" w:hAnsi="Calibri" w:eastAsia="黑体" w:cs="Calibri"/>
          <w:kern w:val="2"/>
          <w:sz w:val="28"/>
          <w:szCs w:val="32"/>
        </w:rPr>
      </w:pPr>
      <w:bookmarkStart w:id="26" w:name="_Toc400369185"/>
      <w:bookmarkStart w:id="27" w:name="_Toc448002984"/>
      <w:bookmarkStart w:id="28" w:name="_Toc444173459"/>
      <w:bookmarkStart w:id="29" w:name="_Toc444174979"/>
      <w:bookmarkStart w:id="30" w:name="_Toc386363317"/>
      <w:bookmarkStart w:id="31" w:name="_Toc386359393"/>
      <w:bookmarkStart w:id="32" w:name="_Toc11881"/>
      <w:bookmarkStart w:id="33" w:name="_Toc349011858"/>
      <w:bookmarkStart w:id="34" w:name="_Toc349007688"/>
      <w:bookmarkStart w:id="35" w:name="_Toc444811409"/>
      <w:bookmarkStart w:id="36" w:name="_Toc20012"/>
      <w:bookmarkStart w:id="37" w:name="_Toc93513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bookmarkEnd w:id="36"/>
      <w:bookmarkEnd w:id="37"/>
      <w:bookmarkStart w:id="38" w:name="_Toc143421656"/>
      <w:bookmarkStart w:id="39" w:name="_Toc11067"/>
      <w:r>
        <w:rPr>
          <w:rFonts w:ascii="Calibri" w:hAnsi="Calibri" w:eastAsia="黑体" w:cs="Calibri"/>
          <w:kern w:val="2"/>
          <w:sz w:val="28"/>
          <w:szCs w:val="32"/>
        </w:rPr>
        <w:t xml:space="preserve"> </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杭州萧山国际机场宣传显示屏采购及安装项目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90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组织，踏勘时间：</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2</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w:t>
            </w:r>
            <w:r>
              <w:rPr>
                <w:rFonts w:hint="eastAsia" w:ascii="宋体" w:hAnsi="宋体" w:cs="Calibri"/>
                <w:kern w:val="0"/>
                <w:sz w:val="22"/>
                <w:lang w:val="en-US" w:eastAsia="zh-CN"/>
              </w:rPr>
              <w:t>20</w:t>
            </w:r>
            <w:r>
              <w:rPr>
                <w:rFonts w:hint="eastAsia" w:ascii="宋体" w:hAnsi="宋体" w:cs="Calibri"/>
                <w:kern w:val="0"/>
                <w:sz w:val="22"/>
              </w:rPr>
              <w:t>年</w:t>
            </w:r>
            <w:r>
              <w:rPr>
                <w:rFonts w:hint="eastAsia" w:ascii="宋体" w:hAnsi="宋体" w:cs="Calibri"/>
                <w:kern w:val="0"/>
                <w:sz w:val="22"/>
                <w:lang w:val="en-US" w:eastAsia="zh-CN"/>
              </w:rPr>
              <w:t>2</w:t>
            </w:r>
            <w:r>
              <w:rPr>
                <w:rFonts w:hint="eastAsia" w:ascii="宋体" w:hAnsi="宋体" w:cs="Calibri"/>
                <w:kern w:val="0"/>
                <w:sz w:val="22"/>
              </w:rPr>
              <w:t>月</w:t>
            </w:r>
            <w:r>
              <w:rPr>
                <w:rFonts w:hint="eastAsia" w:ascii="宋体" w:hAnsi="宋体" w:cs="Calibri"/>
                <w:kern w:val="0"/>
                <w:sz w:val="22"/>
                <w:lang w:val="en-US" w:eastAsia="zh-CN"/>
              </w:rPr>
              <w:t>6</w:t>
            </w:r>
            <w:r>
              <w:rPr>
                <w:rFonts w:hint="eastAsia" w:ascii="宋体" w:hAnsi="宋体" w:cs="Calibri"/>
                <w:kern w:val="0"/>
                <w:sz w:val="22"/>
              </w:rPr>
              <w:t>日11：30前，以书面加盖公章的形式通过E-mail或传真提交给招标人（投标联系人:贾工，电话0571-</w:t>
            </w:r>
            <w:r>
              <w:rPr>
                <w:rFonts w:hint="eastAsia" w:ascii="宋体" w:hAnsi="宋体"/>
                <w:sz w:val="22"/>
              </w:rPr>
              <w:t>83837612</w:t>
            </w:r>
            <w:r>
              <w:rPr>
                <w:rFonts w:hint="eastAsia" w:ascii="宋体" w:hAnsi="宋体" w:cs="Calibri"/>
                <w:kern w:val="0"/>
                <w:sz w:val="22"/>
              </w:rPr>
              <w:t>；传真：0571-</w:t>
            </w:r>
            <w:r>
              <w:rPr>
                <w:rFonts w:hint="eastAsia"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Arial"/>
                <w:kern w:val="0"/>
                <w:sz w:val="22"/>
                <w:lang w:eastAsia="zh-CN"/>
              </w:rPr>
              <w:t>2020年2月14日下午13时45分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杭州萧山国际机场会议设备采购安装</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2020年2月14日下午13时45分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bookmarkStart w:id="134" w:name="_GoBack"/>
            <w:bookmarkEnd w:id="134"/>
            <w:r>
              <w:rPr>
                <w:rFonts w:ascii="宋体" w:hAnsi="宋体" w:cs="Calibri"/>
                <w:kern w:val="0"/>
                <w:sz w:val="22"/>
              </w:rPr>
              <w:t>：同递交投标文件地点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w:t>
            </w:r>
            <w:r>
              <w:rPr>
                <w:rFonts w:hint="eastAsia" w:ascii="宋体" w:hAnsi="宋体"/>
                <w:b/>
                <w:bCs/>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1"/>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hint="eastAsia" w:ascii="宋体" w:hAnsi="宋体" w:cs="Calibri"/>
          <w:sz w:val="22"/>
        </w:rPr>
        <w:t>（1）投标人一般情况及有关证明投标人法律地位的文件（附营业执照、税务登记证、相关产品质量认证证书、相关产品鉴定证书等）。</w:t>
      </w:r>
    </w:p>
    <w:p>
      <w:pPr>
        <w:adjustRightInd w:val="0"/>
        <w:snapToGrid w:val="0"/>
        <w:spacing w:line="276" w:lineRule="auto"/>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）制造商资格声明。</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）设备制造商的授权书（代理商投标时提供）</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）投标产品近三年（合同</w:t>
      </w:r>
      <w:r>
        <w:rPr>
          <w:rFonts w:ascii="宋体" w:hAnsi="宋体" w:cs="Calibri"/>
          <w:sz w:val="22"/>
        </w:rPr>
        <w:t>签订时间</w:t>
      </w:r>
      <w:r>
        <w:rPr>
          <w:rFonts w:hint="eastAsia" w:ascii="宋体" w:hAnsi="宋体" w:cs="Calibri"/>
          <w:sz w:val="22"/>
        </w:rPr>
        <w:t>或</w:t>
      </w:r>
      <w:r>
        <w:rPr>
          <w:rFonts w:ascii="宋体" w:hAnsi="宋体" w:cs="Calibri"/>
          <w:sz w:val="22"/>
        </w:rPr>
        <w:t>部分</w:t>
      </w:r>
      <w:r>
        <w:rPr>
          <w:rFonts w:hint="eastAsia" w:ascii="宋体" w:hAnsi="宋体" w:cs="Calibri"/>
          <w:sz w:val="22"/>
        </w:rPr>
        <w:t>供货期在2016年1月1日至</w:t>
      </w:r>
      <w:r>
        <w:rPr>
          <w:rFonts w:ascii="宋体" w:hAnsi="宋体" w:cs="Calibri"/>
          <w:sz w:val="22"/>
        </w:rPr>
        <w:t>投标截止日</w:t>
      </w:r>
      <w:r>
        <w:rPr>
          <w:rFonts w:hint="eastAsia" w:ascii="宋体" w:hAnsi="宋体" w:cs="Calibri"/>
          <w:sz w:val="22"/>
        </w:rPr>
        <w:t>）的销售业绩一览表（附业绩的合同）。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38"/>
      <w:bookmarkEnd w:id="39"/>
    </w:p>
    <w:p>
      <w:pPr>
        <w:autoSpaceDE w:val="0"/>
        <w:autoSpaceDN w:val="0"/>
        <w:adjustRightInd w:val="0"/>
        <w:snapToGrid w:val="0"/>
        <w:spacing w:line="360" w:lineRule="exact"/>
        <w:rPr>
          <w:rFonts w:ascii="宋体" w:hAnsi="宋体"/>
          <w:sz w:val="22"/>
        </w:rPr>
        <w:sectPr>
          <w:pgSz w:w="11906" w:h="16838"/>
          <w:pgMar w:top="1440" w:right="1080" w:bottom="1440" w:left="108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0" w:name="_Toc223327527"/>
      <w:bookmarkStart w:id="41" w:name="_Toc213036227"/>
      <w:bookmarkStart w:id="42" w:name="_Toc2748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0"/>
      <w:bookmarkEnd w:id="41"/>
      <w:r>
        <w:rPr>
          <w:rFonts w:hint="eastAsia" w:ascii="Calibri" w:hAnsi="Calibri" w:eastAsia="黑体" w:cs="Calibri"/>
          <w:kern w:val="0"/>
          <w:sz w:val="32"/>
        </w:rPr>
        <w:t xml:space="preserve"> 采购内容、技术标准及要求</w:t>
      </w:r>
      <w:bookmarkEnd w:id="42"/>
    </w:p>
    <w:p>
      <w:pPr>
        <w:widowControl/>
        <w:jc w:val="left"/>
        <w:rPr>
          <w:rFonts w:ascii="宋体" w:hAnsi="宋体" w:cs="Calibri"/>
          <w:b/>
          <w:kern w:val="0"/>
          <w:sz w:val="22"/>
        </w:rPr>
      </w:pPr>
      <w:r>
        <w:rPr>
          <w:rFonts w:hint="eastAsia" w:ascii="宋体" w:hAnsi="宋体" w:cs="Calibri"/>
          <w:b/>
          <w:kern w:val="0"/>
          <w:sz w:val="22"/>
        </w:rPr>
        <w:t>一、采购内容、技术标准</w:t>
      </w:r>
    </w:p>
    <w:p>
      <w:pPr>
        <w:widowControl/>
        <w:ind w:firstLine="441"/>
        <w:jc w:val="left"/>
        <w:rPr>
          <w:rFonts w:ascii="宋体" w:hAnsi="宋体" w:cs="Calibri"/>
          <w:kern w:val="0"/>
          <w:sz w:val="22"/>
        </w:rPr>
      </w:pPr>
      <w:r>
        <w:rPr>
          <w:rFonts w:hint="eastAsia" w:ascii="宋体" w:hAnsi="宋体" w:cs="Calibri"/>
          <w:kern w:val="0"/>
          <w:sz w:val="22"/>
        </w:rPr>
        <w:t>表一：采购清单及要求</w:t>
      </w:r>
    </w:p>
    <w:tbl>
      <w:tblPr>
        <w:tblStyle w:val="14"/>
        <w:tblW w:w="9496" w:type="dxa"/>
        <w:tblInd w:w="0" w:type="dxa"/>
        <w:tblLayout w:type="fixed"/>
        <w:tblCellMar>
          <w:top w:w="0" w:type="dxa"/>
          <w:left w:w="0" w:type="dxa"/>
          <w:bottom w:w="0" w:type="dxa"/>
          <w:right w:w="0" w:type="dxa"/>
        </w:tblCellMar>
      </w:tblPr>
      <w:tblGrid>
        <w:gridCol w:w="274"/>
        <w:gridCol w:w="730"/>
        <w:gridCol w:w="710"/>
        <w:gridCol w:w="5144"/>
        <w:gridCol w:w="863"/>
        <w:gridCol w:w="447"/>
        <w:gridCol w:w="375"/>
        <w:gridCol w:w="953"/>
      </w:tblGrid>
      <w:tr>
        <w:tblPrEx>
          <w:tblLayout w:type="fixed"/>
          <w:tblCellMar>
            <w:top w:w="0" w:type="dxa"/>
            <w:left w:w="0" w:type="dxa"/>
            <w:bottom w:w="0" w:type="dxa"/>
            <w:right w:w="0"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设备名称</w:t>
            </w: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主要配置及要求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推荐品牌</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r>
      <w:tr>
        <w:tblPrEx>
          <w:tblLayout w:type="fixed"/>
          <w:tblCellMar>
            <w:top w:w="0" w:type="dxa"/>
            <w:left w:w="0" w:type="dxa"/>
            <w:bottom w:w="0" w:type="dxa"/>
            <w:right w:w="0" w:type="dxa"/>
          </w:tblCellMar>
        </w:tblPrEx>
        <w:trPr>
          <w:trHeight w:val="90" w:hRule="atLeast"/>
        </w:trPr>
        <w:tc>
          <w:tcPr>
            <w:tcW w:w="2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p>
            <w:pPr>
              <w:widowControl/>
              <w:jc w:val="center"/>
              <w:textAlignment w:val="center"/>
              <w:rPr>
                <w:rFonts w:ascii="宋体" w:hAnsi="宋体" w:cs="宋体"/>
                <w:color w:val="000000"/>
                <w:szCs w:val="21"/>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LED显示大屏</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LED显示模块</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Calibri"/>
                <w:kern w:val="0"/>
                <w:sz w:val="22"/>
              </w:rPr>
              <w:t>★</w:t>
            </w:r>
            <w:r>
              <w:rPr>
                <w:rFonts w:hint="eastAsia" w:ascii="宋体" w:hAnsi="宋体" w:cs="宋体"/>
                <w:color w:val="000000"/>
                <w:kern w:val="0"/>
                <w:sz w:val="20"/>
                <w:szCs w:val="20"/>
                <w:lang w:bidi="ar"/>
              </w:rPr>
              <w:t>1. LED像素点间距≤1.9mm;灰度等级16bit；</w:t>
            </w:r>
            <w:r>
              <w:rPr>
                <w:rFonts w:hint="eastAsia" w:ascii="宋体" w:hAnsi="宋体" w:cs="宋体"/>
                <w:color w:val="000000"/>
                <w:kern w:val="0"/>
                <w:sz w:val="20"/>
                <w:szCs w:val="20"/>
                <w:lang w:bidi="ar"/>
              </w:rPr>
              <w:br w:type="textWrapping"/>
            </w:r>
            <w:r>
              <w:rPr>
                <w:rFonts w:ascii="宋体" w:hAnsi="宋体" w:cs="Calibri"/>
                <w:kern w:val="0"/>
                <w:sz w:val="22"/>
              </w:rPr>
              <w:t>★</w:t>
            </w:r>
            <w:r>
              <w:rPr>
                <w:rFonts w:hint="eastAsia" w:ascii="宋体" w:hAnsi="宋体" w:cs="宋体"/>
                <w:color w:val="000000"/>
                <w:kern w:val="0"/>
                <w:sz w:val="20"/>
                <w:szCs w:val="20"/>
                <w:lang w:bidi="ar"/>
              </w:rPr>
              <w:t>2. 前维护（LED模块从显示正面拆卸）；</w:t>
            </w:r>
            <w:r>
              <w:rPr>
                <w:rFonts w:hint="eastAsia" w:ascii="宋体" w:hAnsi="宋体" w:cs="宋体"/>
                <w:color w:val="000000"/>
                <w:kern w:val="0"/>
                <w:sz w:val="20"/>
                <w:szCs w:val="20"/>
                <w:lang w:bidi="ar"/>
              </w:rPr>
              <w:br w:type="textWrapping"/>
            </w:r>
            <w:r>
              <w:rPr>
                <w:rFonts w:ascii="宋体" w:hAnsi="宋体" w:cs="Calibri"/>
                <w:kern w:val="0"/>
                <w:sz w:val="22"/>
              </w:rPr>
              <w:t>★</w:t>
            </w:r>
            <w:r>
              <w:rPr>
                <w:rFonts w:hint="eastAsia" w:ascii="宋体" w:hAnsi="宋体" w:cs="宋体"/>
                <w:color w:val="000000"/>
                <w:kern w:val="0"/>
                <w:sz w:val="20"/>
                <w:szCs w:val="20"/>
                <w:lang w:bidi="ar"/>
              </w:rPr>
              <w:t>3. 有效显示面积尺寸不小于8.64㎡，不大于10㎡，长度不小于3.63m，宽度不小于2.38m；投标方也可根据自身产品尺寸进行拼接，但是由于留好空间，设计显示尺寸长和宽均不得偏差超过3MM；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w:t>
            </w:r>
            <w:r>
              <w:rPr>
                <w:rFonts w:hint="eastAsia" w:ascii="宋体" w:hAnsi="宋体" w:cs="宋体"/>
                <w:color w:val="FF0000"/>
                <w:kern w:val="0"/>
                <w:sz w:val="20"/>
                <w:szCs w:val="20"/>
                <w:lang w:bidi="ar"/>
              </w:rPr>
              <w:t xml:space="preserve"> </w:t>
            </w:r>
            <w:r>
              <w:rPr>
                <w:rFonts w:hint="eastAsia" w:ascii="宋体" w:hAnsi="宋体" w:cs="宋体"/>
                <w:kern w:val="0"/>
                <w:sz w:val="20"/>
                <w:szCs w:val="20"/>
                <w:lang w:bidi="ar"/>
              </w:rPr>
              <w:t>屏幕白平衡亮度≥1800</w:t>
            </w:r>
            <w:r>
              <w:rPr>
                <w:rFonts w:hint="eastAsia" w:ascii="Arial" w:hAnsi="Arial" w:cs="Arial"/>
                <w:kern w:val="0"/>
                <w:sz w:val="20"/>
                <w:szCs w:val="20"/>
                <w:lang w:bidi="ar"/>
              </w:rPr>
              <w:t>cd/㎡</w:t>
            </w:r>
            <w:r>
              <w:rPr>
                <w:rFonts w:hint="eastAsia" w:ascii="宋体" w:hAnsi="宋体" w:cs="宋体"/>
                <w:kern w:val="0"/>
                <w:sz w:val="20"/>
                <w:szCs w:val="20"/>
                <w:lang w:bidi="ar"/>
              </w:rPr>
              <w:t>，发光像素点中心距偏差＜3%；</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5. 像素密度≥279947点/m²；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 具有动态节能技术，降低屏体功耗；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 对比度：≥7000:1；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 采用高端驱动芯片，刷新率不低于3840Hz；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 画面帧频：50/60 Hz；色温3000K－10000K可调；</w:t>
            </w:r>
            <w:r>
              <w:rPr>
                <w:rFonts w:hint="eastAsia" w:ascii="宋体" w:hAnsi="宋体" w:cs="宋体"/>
                <w:color w:val="000000"/>
                <w:kern w:val="0"/>
                <w:sz w:val="20"/>
                <w:szCs w:val="20"/>
                <w:lang w:bidi="ar"/>
              </w:rPr>
              <w:br w:type="textWrapping"/>
            </w:r>
            <w:r>
              <w:rPr>
                <w:rFonts w:hint="eastAsia" w:ascii="宋体" w:hAnsi="宋体" w:cs="Calibri"/>
                <w:kern w:val="0"/>
                <w:sz w:val="22"/>
              </w:rPr>
              <w:t>10</w:t>
            </w:r>
            <w:r>
              <w:rPr>
                <w:rFonts w:hint="eastAsia" w:ascii="宋体" w:hAnsi="宋体" w:cs="宋体"/>
                <w:color w:val="000000"/>
                <w:kern w:val="0"/>
                <w:sz w:val="20"/>
                <w:szCs w:val="20"/>
                <w:lang w:bidi="ar"/>
              </w:rPr>
              <w:t>. 视角：水平视角＞160度，垂直视角＞140度；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 驱动方式：恒流驱动，电源适应性在AC110－240V(50-60HZ)；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 投标产品需具有自检技术,远程监控,自动gamma矫正技术,动态节能、降低功耗,通过高低温工作、存储测试；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 平均无故障工作时间MTBF≥50，000小时；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 屏体工作噪音﹤1.1m的范围内：噪声≤8dB（A）；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 支持屏体拼缝亮线、暗线校正；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 防尘等级IP5X,提供产品性能测试报告：投标产品需提供第三方专项防尘IP5X测试报告；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 产品具有LED单点自检，通讯检测，电源检测，温度监控等自检技术；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 投标产品需提供PCB和塑料面板阻燃测试报告、符合盐雾10级检测报告；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 显示屏注册商标必须和产品LOGO相一致,不接受OEM产品；</w:t>
            </w:r>
          </w:p>
        </w:tc>
        <w:tc>
          <w:tcPr>
            <w:tcW w:w="86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可接受标准化产品品牌为：利亚德、洛普、上海三思同等或以上档次品牌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含安装、调试和培训，需要敷设电缆和通信线。</w:t>
            </w:r>
          </w:p>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安装环境：LED大屏安装一楼屋檐下方，距离室外间距约7米，距地面高度约3米，朝西安装，LED显示会受到太阳西晒影响</w:t>
            </w:r>
            <w:r>
              <w:rPr>
                <w:rFonts w:hint="eastAsia" w:ascii="宋体" w:hAnsi="宋体" w:cs="宋体"/>
                <w:kern w:val="0"/>
                <w:sz w:val="20"/>
                <w:szCs w:val="20"/>
                <w:lang w:bidi="ar"/>
              </w:rPr>
              <w:t>。</w:t>
            </w: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发送卡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专用发送卡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接收卡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专用接收卡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120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智能配电控制箱</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1.规格10KW；                                                   2.配电柜具备过压、过流、欠压、短路、断路以及漏电保护措施；配电柜内装有漏电保护开关、空气开关、熔断器、延时启动接触器、电源防雷器等，配电柜门上还装有旋钮开关和指示灯等；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3.可通过PLC实现远程开关控制,与显示屏同一品牌；</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视频处理器</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1.本显示屏分辨率为：长1920点*高1260点、2419200点像素分辨率； 2.具有分屏显示功能，可自由定义长宽比例；</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控制显示软件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与大屏配套使用，用于控制显示大屏内容；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LED显示屏框架结构</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优质镀锌方管，显示屏专用铝型材及常规包边；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3200" w:hRule="atLeast"/>
        </w:trPr>
        <w:tc>
          <w:tcPr>
            <w:tcW w:w="2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w:t>
            </w:r>
          </w:p>
          <w:p>
            <w:pPr>
              <w:widowControl/>
              <w:jc w:val="center"/>
              <w:textAlignment w:val="center"/>
              <w:rPr>
                <w:rFonts w:ascii="宋体" w:hAnsi="宋体" w:cs="宋体"/>
                <w:color w:val="000000"/>
                <w:szCs w:val="21"/>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Calibri"/>
                <w:kern w:val="0"/>
                <w:sz w:val="22"/>
              </w:rPr>
              <w:t>★</w:t>
            </w:r>
            <w:r>
              <w:rPr>
                <w:rFonts w:hint="eastAsia" w:ascii="宋体" w:hAnsi="宋体" w:cs="宋体"/>
                <w:color w:val="000000"/>
                <w:kern w:val="0"/>
                <w:sz w:val="20"/>
                <w:szCs w:val="20"/>
                <w:lang w:bidi="ar"/>
              </w:rPr>
              <w:t>1.尺寸≥65英寸，屏幕分辨率≥1920×1080；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2.亮度：650cd/m2且对比度：≥6000:1；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3.支持多种接口：DVI、VGA、HDMI等；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4.水平/垂直视角≥178º；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5.支持横向和纵向方式安装；支持横向、纵向浏览图片和文字显示；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6.菜单语言：支持中文；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7.串口支持：支持RS232远程控制；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8.坏点：达到ISO 13406-2坏点等级Ⅱ；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9.平均无故障时间≥50000小时；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10.通过CCC认证，提供证书复印件；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11.能够通过遥控器从屏幕正面控制屏幕开关、参数设置；          12.外壳颜色：与框架选用色系相协调；                         13.安装方式：支架安装；</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可接受标准化产品品牌为：数源、LG、富士通同等或以上档次品牌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含安装、调试，需要敷设电源线和通信线</w:t>
            </w:r>
          </w:p>
        </w:tc>
      </w:tr>
      <w:tr>
        <w:tblPrEx>
          <w:tblLayout w:type="fixed"/>
          <w:tblCellMar>
            <w:top w:w="0" w:type="dxa"/>
            <w:left w:w="0" w:type="dxa"/>
            <w:bottom w:w="0" w:type="dxa"/>
            <w:right w:w="0" w:type="dxa"/>
          </w:tblCellMar>
        </w:tblPrEx>
        <w:trPr>
          <w:trHeight w:val="892" w:hRule="atLeast"/>
        </w:trPr>
        <w:tc>
          <w:tcPr>
            <w:tcW w:w="2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LCD工业液晶显示屏支架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T3航站楼食堂采用落地支架，定制及常规包边,落地高度不低于1.5m；                               </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2.员工宿舍食堂采用吊装支架，定制，长度1.5m；</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76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瘦客户机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1.采用AMD四核2.0GHz处理器及以上的知名品牌机，基于标准配置；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2.内存4GB DDR4 SDRAM及以上，最大支持不低于 8GB；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3.内部存储不小于32G；</w:t>
            </w:r>
          </w:p>
          <w:p>
            <w:pPr>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4.Radeon R6E及以上显卡配置</w:t>
            </w:r>
          </w:p>
          <w:p>
            <w:pPr>
              <w:jc w:val="left"/>
              <w:rPr>
                <w:rFonts w:ascii="宋体" w:hAnsi="宋体" w:cs="宋体"/>
                <w:color w:val="000000"/>
                <w:szCs w:val="21"/>
              </w:rPr>
            </w:pPr>
            <w:r>
              <w:rPr>
                <w:rFonts w:hint="eastAsia" w:ascii="宋体" w:hAnsi="宋体" w:cs="宋体"/>
                <w:color w:val="000000"/>
                <w:kern w:val="0"/>
                <w:sz w:val="20"/>
                <w:szCs w:val="20"/>
                <w:lang w:bidi="ar"/>
              </w:rPr>
              <w:t>5.Windows 7商业版及以上操作系统；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6.前置：2个USB3.0；后置：2个USB2.0；2个DP；1个串口；1个VGA；2个PS/2(键盘和鼠标)；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可接受标准化产品品牌为：HP、DELL、联想同等或以上档次品牌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与LCD工业液晶屏配套使用</w:t>
            </w:r>
          </w:p>
        </w:tc>
      </w:tr>
      <w:tr>
        <w:tblPrEx>
          <w:tblLayout w:type="fixed"/>
          <w:tblCellMar>
            <w:top w:w="0" w:type="dxa"/>
            <w:left w:w="0" w:type="dxa"/>
            <w:bottom w:w="0" w:type="dxa"/>
            <w:right w:w="0" w:type="dxa"/>
          </w:tblCellMar>
        </w:tblPrEx>
        <w:trPr>
          <w:trHeight w:val="232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lang w:bidi="ar"/>
              </w:rPr>
              <w:t>电脑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1.采用英特尔I5四核3.0GHz处理器及以上的知名品牌机，基于标准配置；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2.内存4GB DDR3 SDRAM及以上，最大支持不低于 8GB；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3.500G 7200RPM SATA III硬盘及以上；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4.键盘鼠标、21英寸或更大现实尺寸的宽屏液晶显示器，物理分辨率不低于1920*1080；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5.Windows 10及以上操作系统；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6.总线插槽：2个及以上PCI插槽，2个DIMM插槽，至少1个VGA、一个HDMI接口；</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1台安装于工会办公室、1台安装于信导部、1台与全彩LED大屏配套使用</w:t>
            </w:r>
          </w:p>
        </w:tc>
      </w:tr>
      <w:tr>
        <w:tblPrEx>
          <w:tblLayout w:type="fixed"/>
          <w:tblCellMar>
            <w:top w:w="0" w:type="dxa"/>
            <w:left w:w="0" w:type="dxa"/>
            <w:bottom w:w="0" w:type="dxa"/>
            <w:right w:w="0" w:type="dxa"/>
          </w:tblCellMar>
        </w:tblPrEx>
        <w:trPr>
          <w:trHeight w:val="44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24电口交换机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t>1.10/100/1000 Base-T电口 24个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2.100/1000 Base-X SFP光口 4个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3.交换容量 ≥256Gbps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4.包转发率 ≥42Mps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5.MAC地址表 支持静态MAC地址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6.VLAN 支持基于端口的VLAN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7.支持基于MAC的VLAN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8.支持基于协议的VLAN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9.支持VLAN映射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10.路由协议 支持路由接口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11.支持IPv4路由，RIP等三层动态路由协议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12.支持IPv6静态路由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13.IPv6单播路由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14.管理和维护 支持命令行接口（CLI）配置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15.支持Telnet远程配置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16.支持通过Console口配置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17.支持Ping、Tracert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18.支持Telnet远程维护</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可接受标准化产品品牌为：华三、华为、思科同等或以上档次品牌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9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lang w:bidi="ar"/>
              </w:rPr>
              <w:t>光收发器</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t>1.支持IEEE802.3u及IEEE802.3协议，10Base-TX,100Base-TX及100BaseFX标准；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2.收发器支持10/100M全/半双工自适应以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3.连接口： 10/100Base-TX:一个UTP RJ45连接口； 10/100Base-FX：一个ST、SC、FC连接口</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可接受的标准化产品品牌为：雷贝、瑞斯康达、烽火等同等或以上档次品牌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9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外框美化装饰</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对外框进行美化装饰，例如机场logo，工会名称等，具体按照用户要求。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5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辅材</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LED全彩大屏和单色LED大屏的进线电缆线、排线、5V线，磁柱，卡托，等配套设备；其他包括：网络跳线、光纤跳线、插线板、光纤、光纤熔接盒、电源空开等。</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LED全彩大屏的显示模块（最小显示模块单元）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快</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原单色LED屏拆装</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1号职工食堂一楼大厅原安装的单色LED屏，迁移至食堂二楼（甲方指定地点），需要重新敷设电缆和通信线</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bl>
    <w:p>
      <w:pPr>
        <w:pStyle w:val="5"/>
        <w:spacing w:after="0" w:line="240" w:lineRule="auto"/>
        <w:ind w:left="0" w:leftChars="0"/>
        <w:jc w:val="left"/>
        <w:rPr>
          <w:rFonts w:ascii="宋体" w:hAnsi="宋体" w:cs="Arial"/>
          <w:b/>
          <w:bCs/>
          <w:sz w:val="22"/>
          <w:szCs w:val="22"/>
        </w:rPr>
      </w:pPr>
      <w:r>
        <w:rPr>
          <w:rFonts w:hint="eastAsia" w:ascii="宋体" w:hAnsi="宋体" w:cs="Arial"/>
          <w:b/>
          <w:bCs/>
          <w:sz w:val="22"/>
          <w:szCs w:val="22"/>
        </w:rPr>
        <w:t>注：投标人负责将上述设备进行安装调试，满足招标人的使用需求。</w:t>
      </w:r>
    </w:p>
    <w:p>
      <w:pPr>
        <w:spacing w:line="420" w:lineRule="exact"/>
      </w:pPr>
      <w:r>
        <w:rPr>
          <w:rFonts w:hint="eastAsia"/>
        </w:rPr>
        <w:t>说明：</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1.报价时，投标人必须对表一中参数及相关条款作一一实质性响应，并详细列出响应的具体内容。报价投标人必须响应并承诺项目本招标文件中所附合同主要条款。</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3.</w:t>
      </w:r>
      <w:r>
        <w:rPr>
          <w:rFonts w:hint="eastAsia" w:ascii="Arial" w:hAnsi="Arial" w:cs="Arial"/>
          <w:bCs/>
          <w:kern w:val="0"/>
          <w:sz w:val="22"/>
        </w:rPr>
        <w:t>LED大屏显示要求及安装环境：大屏显示功能分为视频图像屏和文字滚动屏两部分，总面积为8.64㎡。视频图像显示屏分辨率为高清1920*1080，画面比例16:9，尺寸为3.63m*2.04m，面积7.4㎡；文字滚动屏分辨率为1920*1080，尺寸为3.63m*0.34m，面积 1.24㎡；环境：LED大屏安装综合服务保障大楼一楼屋檐下方，距离室外间距约7米，距地面高度约3米，朝西安装，LED显示会受到太阳西晒影响，对于大屏的屏幕白平衡亮度要求相对较高。</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4. 综合服务保障大楼1号职工食堂一楼大厅原安装的单色LED屏，品牌型号为奥彩P4，面积大小约为8平方，迁移至食堂二楼（甲方指定地点），同时完成该屏的安装调试工作，投标方需充分考虑LED大屏迁移的安装方案和费用。</w:t>
      </w:r>
      <w:r>
        <w:rPr>
          <w:rFonts w:hint="eastAsia" w:ascii="Arial" w:hAnsi="Arial" w:cs="Arial"/>
          <w:b/>
          <w:kern w:val="0"/>
          <w:sz w:val="22"/>
        </w:rPr>
        <w:t>如果在原LED屏迁移过程中大屏出现损坏，由投标方负责维修</w:t>
      </w:r>
      <w:r>
        <w:rPr>
          <w:rFonts w:hint="eastAsia" w:ascii="Arial" w:hAnsi="Arial" w:cs="Arial"/>
          <w:bCs/>
          <w:kern w:val="0"/>
          <w:sz w:val="22"/>
        </w:rPr>
        <w:t>。</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5.LED全彩大屏和原LED单色大屏的电缆采购和敷设由投标人负责，费用包含在总价中。</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6.投标人负责对上述设备进行安装和调试，满足招标人的使用需求。</w:t>
      </w:r>
    </w:p>
    <w:p>
      <w:pPr>
        <w:widowControl/>
        <w:spacing w:line="420" w:lineRule="exact"/>
        <w:ind w:firstLine="440" w:firstLineChars="200"/>
        <w:jc w:val="left"/>
        <w:rPr>
          <w:rFonts w:ascii="宋体" w:hAnsi="宋体" w:cs="Arial"/>
          <w:b/>
          <w:kern w:val="0"/>
          <w:sz w:val="22"/>
        </w:rPr>
      </w:pPr>
      <w:r>
        <w:rPr>
          <w:rFonts w:hint="eastAsia" w:ascii="Arial" w:hAnsi="Arial" w:cs="Arial"/>
          <w:bCs/>
          <w:kern w:val="0"/>
          <w:sz w:val="22"/>
        </w:rPr>
        <w:t>7.上述设备实现的功能：</w:t>
      </w:r>
      <w:r>
        <w:rPr>
          <w:rFonts w:hint="eastAsia" w:ascii="宋体" w:hAnsi="宋体" w:cs="Arial"/>
          <w:kern w:val="0"/>
          <w:sz w:val="22"/>
        </w:rPr>
        <w:t>T3航站楼和宿舍员工食堂的显示屏以及</w:t>
      </w:r>
      <w:r>
        <w:rPr>
          <w:rFonts w:hint="eastAsia" w:ascii="Arial" w:hAnsi="Arial" w:cs="Arial"/>
          <w:bCs/>
          <w:kern w:val="0"/>
          <w:sz w:val="22"/>
        </w:rPr>
        <w:t>LED全彩显示大屏连接的PC瘦客户机和工会办公室电脑、信导部电脑通过网络组成局域网，工会办公室电脑通过网络可以管控前端的显示大屏，发布宣传视频或图片，设备中需要有屏控软件，大屏显示功能分为视频图像屏和文字滚动屏两部分；原单色LED屏实现原有的功能。</w:t>
      </w:r>
      <w:r>
        <w:rPr>
          <w:rFonts w:hint="eastAsia" w:cs="Arial"/>
          <w:sz w:val="22"/>
        </w:rPr>
        <w:t>若投标人认为实现上述功能必须新增其他设施设备和辅材，投标人可另附页列明；若投标人未列出其他设施设备和辅材的，默认为投标人免费提供。</w:t>
      </w:r>
    </w:p>
    <w:p>
      <w:pPr>
        <w:widowControl/>
        <w:spacing w:line="420" w:lineRule="exact"/>
        <w:jc w:val="left"/>
        <w:rPr>
          <w:rFonts w:ascii="宋体" w:hAnsi="宋体" w:cs="Arial"/>
          <w:b/>
          <w:kern w:val="0"/>
          <w:sz w:val="22"/>
        </w:rPr>
      </w:pPr>
      <w:r>
        <w:rPr>
          <w:rFonts w:hint="eastAsia" w:ascii="宋体" w:hAnsi="宋体" w:cs="Arial"/>
          <w:b/>
          <w:kern w:val="0"/>
          <w:sz w:val="22"/>
        </w:rPr>
        <w:t>二、技术标准</w:t>
      </w:r>
    </w:p>
    <w:p>
      <w:pPr>
        <w:spacing w:line="420" w:lineRule="exact"/>
        <w:ind w:firstLine="221" w:firstLineChars="100"/>
        <w:rPr>
          <w:b/>
          <w:sz w:val="22"/>
        </w:rPr>
      </w:pPr>
      <w:bookmarkStart w:id="43" w:name="_Toc231524238"/>
      <w:bookmarkStart w:id="44" w:name="_Toc128470690"/>
      <w:bookmarkStart w:id="45" w:name="_Toc101081878"/>
      <w:bookmarkStart w:id="46" w:name="_Toc116529965"/>
      <w:bookmarkStart w:id="47" w:name="_Toc118514199"/>
      <w:bookmarkStart w:id="48" w:name="_Toc116375173"/>
      <w:bookmarkStart w:id="49" w:name="_Toc102198654"/>
      <w:bookmarkStart w:id="50" w:name="_Toc116788719"/>
      <w:bookmarkStart w:id="51" w:name="_Toc116788526"/>
      <w:bookmarkStart w:id="52" w:name="_Toc116529750"/>
      <w:bookmarkStart w:id="53" w:name="_Toc245984379"/>
      <w:bookmarkStart w:id="54" w:name="_Toc101930138"/>
      <w:bookmarkStart w:id="55" w:name="_Toc117568148"/>
      <w:bookmarkStart w:id="56" w:name="_Toc117568328"/>
      <w:bookmarkStart w:id="57" w:name="_Toc101930247"/>
      <w:bookmarkStart w:id="58" w:name="_Toc101234990"/>
      <w:bookmarkStart w:id="59" w:name="_Toc102199407"/>
      <w:bookmarkStart w:id="60" w:name="_Toc238303094"/>
      <w:bookmarkStart w:id="61" w:name="_Toc116787113"/>
      <w:bookmarkStart w:id="62" w:name="_Toc231525930"/>
      <w:bookmarkStart w:id="63" w:name="_Toc102303570"/>
      <w:bookmarkStart w:id="64" w:name="_Toc235935832"/>
      <w:r>
        <w:rPr>
          <w:b/>
          <w:sz w:val="22"/>
        </w:rPr>
        <w:t>2.1标准与规范</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napToGrid w:val="0"/>
        <w:spacing w:line="420" w:lineRule="exact"/>
        <w:ind w:firstLine="440" w:firstLineChars="200"/>
        <w:rPr>
          <w:sz w:val="22"/>
        </w:rPr>
      </w:pPr>
      <w:r>
        <w:rPr>
          <w:rFonts w:hAnsi="宋体"/>
          <w:sz w:val="22"/>
        </w:rPr>
        <w:t>除特别声明，投标人使用的标准和规范必须是最新的国际和国家标准。</w:t>
      </w:r>
    </w:p>
    <w:p>
      <w:pPr>
        <w:pStyle w:val="21"/>
        <w:snapToGrid w:val="0"/>
        <w:spacing w:line="420" w:lineRule="exact"/>
        <w:ind w:hanging="1920"/>
        <w:rPr>
          <w:color w:val="auto"/>
          <w:sz w:val="22"/>
        </w:rPr>
      </w:pPr>
      <w:r>
        <w:rPr>
          <w:rFonts w:hAnsi="宋体"/>
          <w:color w:val="auto"/>
          <w:sz w:val="22"/>
        </w:rPr>
        <w:t>。</w:t>
      </w:r>
      <w:r>
        <w:rPr>
          <w:color w:val="auto"/>
          <w:sz w:val="22"/>
        </w:rPr>
        <w:t xml:space="preserve">   </w:t>
      </w:r>
      <w:r>
        <w:rPr>
          <w:rFonts w:hint="eastAsia"/>
          <w:color w:val="auto"/>
          <w:sz w:val="22"/>
        </w:rPr>
        <w:t xml:space="preserve">                 </w:t>
      </w:r>
      <w:r>
        <w:rPr>
          <w:rFonts w:hAnsi="宋体"/>
          <w:color w:val="auto"/>
          <w:sz w:val="22"/>
        </w:rPr>
        <w:t>本项目建设应遵循的标准和规范包括：</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民用建筑电气设计规范</w:t>
      </w:r>
      <w:r>
        <w:rPr>
          <w:color w:val="auto"/>
          <w:sz w:val="22"/>
        </w:rPr>
        <w:t>JGJ/T16-92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电气装置安装工程施工及验收规范</w:t>
      </w:r>
      <w:r>
        <w:rPr>
          <w:color w:val="auto"/>
          <w:sz w:val="22"/>
        </w:rPr>
        <w:t>GBJ232-82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电气装置安装工程电气设备交接实验标准</w:t>
      </w:r>
      <w:r>
        <w:rPr>
          <w:color w:val="auto"/>
          <w:sz w:val="22"/>
        </w:rPr>
        <w:t>GB50150-91</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国际民航公约附件</w:t>
      </w:r>
      <w:r>
        <w:rPr>
          <w:color w:val="auto"/>
          <w:sz w:val="22"/>
        </w:rPr>
        <w:t>14</w:t>
      </w:r>
      <w:r>
        <w:rPr>
          <w:rFonts w:hAnsi="宋体"/>
          <w:color w:val="auto"/>
          <w:sz w:val="22"/>
        </w:rPr>
        <w:t>《机场》的标准和建议措施</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中华人民共和国民用航空行业标准</w:t>
      </w:r>
      <w:r>
        <w:rPr>
          <w:color w:val="auto"/>
          <w:sz w:val="22"/>
        </w:rPr>
        <w:t>—</w:t>
      </w:r>
      <w:r>
        <w:rPr>
          <w:rFonts w:hAnsi="宋体"/>
          <w:color w:val="auto"/>
          <w:sz w:val="22"/>
        </w:rPr>
        <w:t>民用航空运输机场安全保卫设施建设标准</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电气指标标准</w:t>
      </w:r>
      <w:r>
        <w:rPr>
          <w:color w:val="auto"/>
          <w:sz w:val="22"/>
        </w:rPr>
        <w:t>ELA-422ELA-485</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中华人民共和国公共安全行业标准</w:t>
      </w:r>
      <w:r>
        <w:rPr>
          <w:color w:val="auto"/>
          <w:sz w:val="22"/>
        </w:rPr>
        <w:t>GA/T75-94</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商用建筑物布线标准</w:t>
      </w:r>
      <w:r>
        <w:rPr>
          <w:color w:val="auto"/>
          <w:sz w:val="22"/>
        </w:rPr>
        <w:t>EIA/TIA568B</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国际标准</w:t>
      </w:r>
      <w:r>
        <w:rPr>
          <w:color w:val="auto"/>
          <w:sz w:val="22"/>
        </w:rPr>
        <w:t>ISO/IEC11801</w:t>
      </w:r>
      <w:r>
        <w:rPr>
          <w:rFonts w:hAnsi="宋体"/>
          <w:color w:val="auto"/>
          <w:sz w:val="22"/>
        </w:rPr>
        <w:t>：</w:t>
      </w:r>
      <w:r>
        <w:rPr>
          <w:color w:val="auto"/>
          <w:sz w:val="22"/>
        </w:rPr>
        <w:t>2002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国际标准</w:t>
      </w:r>
      <w:r>
        <w:rPr>
          <w:color w:val="auto"/>
          <w:sz w:val="22"/>
        </w:rPr>
        <w:t>ISO 14165-114</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民用建筑线缆标准</w:t>
      </w:r>
      <w:r>
        <w:rPr>
          <w:color w:val="auto"/>
          <w:sz w:val="22"/>
        </w:rPr>
        <w:t>EIA/TIA586</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民用建筑通信管理标准</w:t>
      </w:r>
      <w:r>
        <w:rPr>
          <w:color w:val="auto"/>
          <w:sz w:val="22"/>
        </w:rPr>
        <w:t>EIA/TIA606</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民用建筑通信接地标准</w:t>
      </w:r>
      <w:r>
        <w:rPr>
          <w:color w:val="auto"/>
          <w:sz w:val="22"/>
        </w:rPr>
        <w:t>EIA/TIA607</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GB/T 50314—2000 </w:t>
      </w:r>
      <w:r>
        <w:rPr>
          <w:rFonts w:hAnsi="宋体"/>
          <w:color w:val="auto"/>
          <w:sz w:val="22"/>
        </w:rPr>
        <w:t>智能建筑设计标准</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GB50339—2003  </w:t>
      </w:r>
      <w:r>
        <w:rPr>
          <w:rFonts w:hAnsi="宋体"/>
          <w:color w:val="auto"/>
          <w:sz w:val="22"/>
        </w:rPr>
        <w:t>智能建筑工程质量验收规范</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 50343—2004  </w:t>
      </w:r>
      <w:r>
        <w:rPr>
          <w:rFonts w:hAnsi="宋体"/>
          <w:color w:val="auto"/>
          <w:sz w:val="22"/>
        </w:rPr>
        <w:t>建筑物信息系统防雷技术规范</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电磁学规范：</w:t>
      </w:r>
      <w:r>
        <w:rPr>
          <w:color w:val="auto"/>
          <w:sz w:val="22"/>
        </w:rPr>
        <w:t xml:space="preserve">FCC Class B </w:t>
      </w:r>
      <w:r>
        <w:rPr>
          <w:rFonts w:hAnsi="宋体"/>
          <w:color w:val="auto"/>
          <w:sz w:val="22"/>
        </w:rPr>
        <w:t>或</w:t>
      </w:r>
      <w:r>
        <w:rPr>
          <w:color w:val="auto"/>
          <w:sz w:val="22"/>
        </w:rPr>
        <w:t xml:space="preserve"> CISPR 22 Class B   </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安全规范：</w:t>
      </w:r>
      <w:r>
        <w:rPr>
          <w:color w:val="auto"/>
          <w:sz w:val="22"/>
        </w:rPr>
        <w:t>UL Listed</w:t>
      </w:r>
      <w:r>
        <w:rPr>
          <w:rFonts w:hAnsi="宋体"/>
          <w:color w:val="auto"/>
          <w:sz w:val="22"/>
        </w:rPr>
        <w:t>（美国）</w:t>
      </w:r>
      <w:r>
        <w:rPr>
          <w:color w:val="auto"/>
          <w:sz w:val="22"/>
        </w:rPr>
        <w:t xml:space="preserve"> </w:t>
      </w:r>
      <w:r>
        <w:rPr>
          <w:rFonts w:hAnsi="宋体"/>
          <w:color w:val="auto"/>
          <w:sz w:val="22"/>
        </w:rPr>
        <w:t>或</w:t>
      </w:r>
      <w:r>
        <w:rPr>
          <w:color w:val="auto"/>
          <w:sz w:val="22"/>
        </w:rPr>
        <w:t xml:space="preserve"> EN 60950 </w:t>
      </w:r>
      <w:r>
        <w:rPr>
          <w:rFonts w:hAnsi="宋体"/>
          <w:color w:val="auto"/>
          <w:sz w:val="22"/>
        </w:rPr>
        <w:t>（国际）</w:t>
      </w:r>
    </w:p>
    <w:p>
      <w:pPr>
        <w:spacing w:line="420" w:lineRule="exact"/>
        <w:rPr>
          <w:b/>
          <w:sz w:val="22"/>
        </w:rPr>
      </w:pPr>
      <w:bookmarkStart w:id="65" w:name="_Toc102303571"/>
      <w:bookmarkStart w:id="66" w:name="_Toc245984380"/>
      <w:bookmarkStart w:id="67" w:name="_Toc116529751"/>
      <w:bookmarkStart w:id="68" w:name="_Toc102199408"/>
      <w:bookmarkStart w:id="69" w:name="_Toc116529966"/>
      <w:bookmarkStart w:id="70" w:name="_Toc118514200"/>
      <w:bookmarkStart w:id="71" w:name="_Toc235935833"/>
      <w:bookmarkStart w:id="72" w:name="_Toc101930248"/>
      <w:bookmarkStart w:id="73" w:name="_Toc101930139"/>
      <w:bookmarkStart w:id="74" w:name="_Toc116787114"/>
      <w:bookmarkStart w:id="75" w:name="_Toc238303095"/>
      <w:bookmarkStart w:id="76" w:name="_Toc128470691"/>
      <w:bookmarkStart w:id="77" w:name="_Toc117568149"/>
      <w:bookmarkStart w:id="78" w:name="_Toc117568329"/>
      <w:bookmarkStart w:id="79" w:name="_Toc231524239"/>
      <w:bookmarkStart w:id="80" w:name="_Toc101234991"/>
      <w:bookmarkStart w:id="81" w:name="_Toc116788527"/>
      <w:bookmarkStart w:id="82" w:name="_Toc102198655"/>
      <w:bookmarkStart w:id="83" w:name="_Toc231525931"/>
      <w:bookmarkStart w:id="84" w:name="_Toc116788720"/>
      <w:bookmarkStart w:id="85" w:name="_Toc116375174"/>
      <w:bookmarkStart w:id="86" w:name="_Toc101081879"/>
      <w:r>
        <w:rPr>
          <w:rFonts w:hint="eastAsia"/>
          <w:b/>
          <w:sz w:val="22"/>
        </w:rPr>
        <w:t>2.2</w:t>
      </w:r>
      <w:r>
        <w:rPr>
          <w:b/>
          <w:sz w:val="22"/>
        </w:rPr>
        <w:t>计量单位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b/>
          <w:sz w:val="22"/>
        </w:rPr>
        <w:t xml:space="preserve"> </w:t>
      </w:r>
    </w:p>
    <w:p>
      <w:pPr>
        <w:snapToGrid w:val="0"/>
        <w:spacing w:line="420" w:lineRule="exact"/>
        <w:ind w:firstLine="440" w:firstLineChars="200"/>
        <w:rPr>
          <w:b/>
          <w:sz w:val="22"/>
        </w:rPr>
      </w:pPr>
      <w:r>
        <w:rPr>
          <w:rFonts w:hAnsi="宋体"/>
          <w:sz w:val="22"/>
        </w:rPr>
        <w:t>除本技术规范另有规定，以中华人民共和国法定计量单位作为计量单位，不在法定计量单位范围内的，将使用国际计量单位和国家选定的其它计量单位。</w:t>
      </w:r>
      <w:bookmarkStart w:id="87" w:name="_Toc224714092"/>
      <w:bookmarkStart w:id="88" w:name="_Toc245984381"/>
      <w:bookmarkStart w:id="89" w:name="_Toc231524240"/>
      <w:bookmarkStart w:id="90" w:name="_Toc235935834"/>
      <w:bookmarkStart w:id="91" w:name="_Toc231525932"/>
      <w:bookmarkStart w:id="92" w:name="_Toc238303096"/>
    </w:p>
    <w:p>
      <w:pPr>
        <w:numPr>
          <w:ilvl w:val="1"/>
          <w:numId w:val="4"/>
        </w:numPr>
        <w:spacing w:line="420" w:lineRule="exact"/>
        <w:ind w:hanging="495"/>
        <w:rPr>
          <w:rFonts w:ascii="Times New Roman" w:hAnsi="宋体"/>
          <w:b/>
          <w:kern w:val="0"/>
          <w:sz w:val="22"/>
        </w:rPr>
      </w:pPr>
      <w:r>
        <w:rPr>
          <w:rFonts w:ascii="Times New Roman" w:hAnsi="宋体"/>
          <w:b/>
          <w:kern w:val="0"/>
          <w:sz w:val="22"/>
        </w:rPr>
        <w:t>接地要求</w:t>
      </w:r>
      <w:bookmarkEnd w:id="87"/>
      <w:bookmarkEnd w:id="88"/>
      <w:bookmarkEnd w:id="89"/>
      <w:bookmarkEnd w:id="90"/>
      <w:bookmarkEnd w:id="91"/>
      <w:bookmarkEnd w:id="92"/>
      <w:bookmarkStart w:id="93" w:name="_Toc231524241"/>
    </w:p>
    <w:p>
      <w:pPr>
        <w:spacing w:line="420" w:lineRule="exact"/>
        <w:ind w:left="495"/>
        <w:rPr>
          <w:rFonts w:hAnsi="宋体"/>
          <w:sz w:val="22"/>
        </w:rPr>
      </w:pPr>
      <w:r>
        <w:rPr>
          <w:rFonts w:hint="eastAsia" w:ascii="Times New Roman" w:hAnsi="宋体"/>
          <w:b/>
          <w:kern w:val="0"/>
          <w:sz w:val="22"/>
        </w:rPr>
        <w:t>2.3.1</w:t>
      </w:r>
      <w:r>
        <w:rPr>
          <w:rFonts w:hAnsi="宋体"/>
          <w:sz w:val="22"/>
        </w:rPr>
        <w:t>投标人须保证所提供的设备能可靠接地。</w:t>
      </w:r>
      <w:bookmarkEnd w:id="93"/>
      <w:bookmarkStart w:id="94" w:name="_Toc231524242"/>
    </w:p>
    <w:p>
      <w:pPr>
        <w:spacing w:line="420" w:lineRule="exact"/>
        <w:ind w:left="495"/>
        <w:rPr>
          <w:rFonts w:hAnsi="宋体"/>
          <w:sz w:val="22"/>
        </w:rPr>
      </w:pPr>
      <w:r>
        <w:rPr>
          <w:rFonts w:hint="eastAsia" w:ascii="Times New Roman" w:hAnsi="宋体"/>
          <w:b/>
          <w:kern w:val="0"/>
          <w:sz w:val="22"/>
        </w:rPr>
        <w:t>2.3.2</w:t>
      </w:r>
      <w:r>
        <w:rPr>
          <w:rFonts w:hAnsi="宋体"/>
          <w:sz w:val="22"/>
        </w:rPr>
        <w:t>所有设备接地要求符合TIA/EIA-607标准。</w:t>
      </w:r>
      <w:bookmarkEnd w:id="94"/>
      <w:bookmarkStart w:id="95" w:name="_Toc231524243"/>
    </w:p>
    <w:p>
      <w:pPr>
        <w:spacing w:line="420" w:lineRule="exact"/>
        <w:ind w:left="495"/>
        <w:rPr>
          <w:rFonts w:ascii="Times New Roman" w:hAnsi="宋体"/>
          <w:kern w:val="0"/>
          <w:sz w:val="22"/>
        </w:rPr>
      </w:pPr>
      <w:r>
        <w:rPr>
          <w:rFonts w:hint="eastAsia" w:ascii="Times New Roman" w:hAnsi="宋体"/>
          <w:b/>
          <w:kern w:val="0"/>
          <w:sz w:val="22"/>
        </w:rPr>
        <w:t>2.3.3</w:t>
      </w:r>
      <w:r>
        <w:rPr>
          <w:rFonts w:hAnsi="宋体"/>
          <w:sz w:val="22"/>
        </w:rPr>
        <w:t>接地电阻不得大于1Ω。</w:t>
      </w:r>
      <w:bookmarkEnd w:id="95"/>
    </w:p>
    <w:p>
      <w:pPr>
        <w:spacing w:line="420" w:lineRule="exact"/>
        <w:rPr>
          <w:b/>
          <w:sz w:val="22"/>
        </w:rPr>
      </w:pPr>
      <w:bookmarkStart w:id="96" w:name="_Toc224714093"/>
      <w:bookmarkStart w:id="97" w:name="_Toc238303097"/>
      <w:bookmarkStart w:id="98" w:name="_Toc235935835"/>
      <w:bookmarkStart w:id="99" w:name="_Toc231525933"/>
      <w:bookmarkStart w:id="100" w:name="_Toc245984382"/>
      <w:bookmarkStart w:id="101" w:name="_Toc231524244"/>
      <w:r>
        <w:rPr>
          <w:sz w:val="22"/>
        </w:rPr>
        <w:t>2.4</w:t>
      </w:r>
      <w:r>
        <w:rPr>
          <w:b/>
          <w:sz w:val="22"/>
        </w:rPr>
        <w:t>现场条件</w:t>
      </w:r>
      <w:bookmarkEnd w:id="96"/>
      <w:bookmarkEnd w:id="97"/>
      <w:bookmarkEnd w:id="98"/>
      <w:bookmarkEnd w:id="99"/>
      <w:bookmarkEnd w:id="100"/>
      <w:bookmarkEnd w:id="101"/>
    </w:p>
    <w:p>
      <w:pPr>
        <w:pStyle w:val="22"/>
        <w:spacing w:line="420" w:lineRule="exact"/>
        <w:ind w:firstLine="440"/>
        <w:rPr>
          <w:rFonts w:ascii="Times New Roman" w:hAnsi="宋体"/>
          <w:sz w:val="22"/>
          <w:szCs w:val="22"/>
        </w:rPr>
      </w:pPr>
      <w:r>
        <w:rPr>
          <w:rFonts w:ascii="Times New Roman" w:hAnsi="宋体"/>
          <w:sz w:val="22"/>
          <w:szCs w:val="22"/>
        </w:rPr>
        <w:t>投标人所提供的设备设施及建议的设备设施必须能够在以下现场条件中正常运行。</w:t>
      </w:r>
      <w:bookmarkStart w:id="102" w:name="_Toc231524245"/>
    </w:p>
    <w:p>
      <w:pPr>
        <w:pStyle w:val="22"/>
        <w:spacing w:line="420" w:lineRule="exact"/>
        <w:ind w:firstLine="440"/>
        <w:rPr>
          <w:rFonts w:ascii="Times New Roman" w:hAnsi="Times New Roman"/>
          <w:sz w:val="22"/>
          <w:szCs w:val="22"/>
        </w:rPr>
      </w:pPr>
      <w:r>
        <w:rPr>
          <w:rFonts w:hint="eastAsia" w:ascii="Times New Roman" w:hAnsi="宋体"/>
          <w:sz w:val="22"/>
          <w:szCs w:val="22"/>
        </w:rPr>
        <w:t>2.4.1</w:t>
      </w:r>
      <w:r>
        <w:rPr>
          <w:rFonts w:hAnsi="宋体"/>
          <w:b/>
          <w:sz w:val="22"/>
          <w:szCs w:val="22"/>
        </w:rPr>
        <w:t>地理位置、气候条件</w:t>
      </w:r>
      <w:bookmarkEnd w:id="102"/>
    </w:p>
    <w:p>
      <w:pPr>
        <w:pStyle w:val="22"/>
        <w:numPr>
          <w:ilvl w:val="0"/>
          <w:numId w:val="5"/>
        </w:numPr>
        <w:spacing w:line="420" w:lineRule="exact"/>
        <w:ind w:left="0" w:firstLine="440"/>
        <w:rPr>
          <w:rFonts w:ascii="Times New Roman" w:hAnsi="Times New Roman"/>
          <w:sz w:val="22"/>
          <w:szCs w:val="22"/>
        </w:rPr>
      </w:pPr>
      <w:r>
        <w:rPr>
          <w:rFonts w:hint="eastAsia" w:ascii="Times New Roman" w:hAnsi="Times New Roman"/>
          <w:sz w:val="22"/>
          <w:szCs w:val="22"/>
        </w:rPr>
        <w:t>杭州萧山国际机场</w:t>
      </w:r>
      <w:r>
        <w:rPr>
          <w:rFonts w:ascii="Times New Roman" w:hAnsi="宋体"/>
          <w:sz w:val="22"/>
          <w:szCs w:val="22"/>
        </w:rPr>
        <w:t>地处亚热带，为海洋型气候，温和湿润，海拔高度</w:t>
      </w:r>
      <w:r>
        <w:rPr>
          <w:rFonts w:ascii="Times New Roman" w:hAnsi="Times New Roman"/>
          <w:sz w:val="22"/>
          <w:szCs w:val="22"/>
        </w:rPr>
        <w:t>≤200m</w:t>
      </w:r>
    </w:p>
    <w:p>
      <w:pPr>
        <w:pStyle w:val="22"/>
        <w:numPr>
          <w:ilvl w:val="0"/>
          <w:numId w:val="5"/>
        </w:numPr>
        <w:spacing w:line="420" w:lineRule="exact"/>
        <w:ind w:left="0" w:firstLine="440"/>
        <w:rPr>
          <w:rFonts w:ascii="Times New Roman" w:hAnsi="Times New Roman"/>
          <w:sz w:val="22"/>
          <w:szCs w:val="22"/>
        </w:rPr>
      </w:pPr>
      <w:r>
        <w:rPr>
          <w:rFonts w:ascii="Times New Roman" w:hAnsi="宋体"/>
          <w:sz w:val="22"/>
          <w:szCs w:val="22"/>
        </w:rPr>
        <w:t>腐蚀性：近海</w:t>
      </w:r>
      <w:r>
        <w:rPr>
          <w:rFonts w:ascii="Times New Roman" w:hAnsi="Times New Roman"/>
          <w:sz w:val="22"/>
          <w:szCs w:val="22"/>
        </w:rPr>
        <w:t>20000</w:t>
      </w:r>
      <w:r>
        <w:rPr>
          <w:rFonts w:ascii="Times New Roman" w:hAnsi="宋体"/>
          <w:sz w:val="22"/>
          <w:szCs w:val="22"/>
        </w:rPr>
        <w:t>米，有轻度盐雾</w:t>
      </w:r>
    </w:p>
    <w:p>
      <w:pPr>
        <w:pStyle w:val="22"/>
        <w:numPr>
          <w:ilvl w:val="0"/>
          <w:numId w:val="5"/>
        </w:numPr>
        <w:spacing w:line="420" w:lineRule="exact"/>
        <w:ind w:left="0" w:firstLine="440"/>
        <w:rPr>
          <w:rFonts w:ascii="Times New Roman" w:hAnsi="Times New Roman"/>
          <w:sz w:val="22"/>
          <w:szCs w:val="22"/>
        </w:rPr>
      </w:pPr>
      <w:r>
        <w:rPr>
          <w:rFonts w:ascii="Times New Roman" w:hAnsi="宋体"/>
          <w:sz w:val="22"/>
          <w:szCs w:val="22"/>
        </w:rPr>
        <w:t>室内温度：</w:t>
      </w:r>
      <w:r>
        <w:rPr>
          <w:rFonts w:ascii="Times New Roman" w:hAnsi="Times New Roman"/>
          <w:sz w:val="22"/>
          <w:szCs w:val="22"/>
        </w:rPr>
        <w:t>0</w:t>
      </w:r>
      <w:r>
        <w:rPr>
          <w:rFonts w:ascii="宋体" w:hAnsi="宋体"/>
          <w:sz w:val="22"/>
          <w:szCs w:val="22"/>
        </w:rPr>
        <w:t>℃</w:t>
      </w:r>
      <w:r>
        <w:rPr>
          <w:rFonts w:ascii="Times New Roman" w:hAnsi="宋体"/>
          <w:sz w:val="22"/>
          <w:szCs w:val="22"/>
        </w:rPr>
        <w:t>～</w:t>
      </w:r>
      <w:r>
        <w:rPr>
          <w:rFonts w:ascii="Times New Roman" w:hAnsi="Times New Roman"/>
          <w:sz w:val="22"/>
          <w:szCs w:val="22"/>
        </w:rPr>
        <w:t>40</w:t>
      </w:r>
      <w:r>
        <w:rPr>
          <w:rFonts w:ascii="宋体" w:hAnsi="宋体"/>
          <w:sz w:val="22"/>
          <w:szCs w:val="22"/>
        </w:rPr>
        <w:t>℃</w:t>
      </w:r>
      <w:r>
        <w:rPr>
          <w:rFonts w:ascii="Times New Roman" w:hAnsi="宋体"/>
          <w:sz w:val="22"/>
          <w:szCs w:val="22"/>
        </w:rPr>
        <w:t>。</w:t>
      </w:r>
    </w:p>
    <w:p>
      <w:pPr>
        <w:pStyle w:val="22"/>
        <w:numPr>
          <w:ilvl w:val="0"/>
          <w:numId w:val="5"/>
        </w:numPr>
        <w:tabs>
          <w:tab w:val="left" w:pos="1440"/>
        </w:tabs>
        <w:spacing w:line="420" w:lineRule="exact"/>
        <w:ind w:left="0" w:firstLine="440"/>
        <w:rPr>
          <w:rFonts w:ascii="Times New Roman" w:hAnsi="Times New Roman"/>
          <w:sz w:val="22"/>
          <w:szCs w:val="22"/>
        </w:rPr>
      </w:pPr>
      <w:r>
        <w:rPr>
          <w:rFonts w:ascii="Times New Roman" w:hAnsi="宋体"/>
          <w:sz w:val="22"/>
          <w:szCs w:val="22"/>
        </w:rPr>
        <w:t>室内最大相对湿度：日平均不大于</w:t>
      </w:r>
      <w:r>
        <w:rPr>
          <w:rFonts w:ascii="Times New Roman" w:hAnsi="Times New Roman"/>
          <w:sz w:val="22"/>
          <w:szCs w:val="22"/>
        </w:rPr>
        <w:t>95</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时），月平均不大于</w:t>
      </w:r>
      <w:r>
        <w:rPr>
          <w:rFonts w:ascii="Times New Roman" w:hAnsi="Times New Roman"/>
          <w:sz w:val="22"/>
          <w:szCs w:val="22"/>
        </w:rPr>
        <w:t>90</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w:t>
      </w:r>
      <w:bookmarkStart w:id="103" w:name="_Toc231524246"/>
    </w:p>
    <w:p>
      <w:pPr>
        <w:pStyle w:val="22"/>
        <w:tabs>
          <w:tab w:val="left" w:pos="900"/>
          <w:tab w:val="left" w:pos="1440"/>
        </w:tabs>
        <w:spacing w:line="420" w:lineRule="exact"/>
        <w:ind w:firstLine="0" w:firstLineChars="0"/>
        <w:rPr>
          <w:rFonts w:ascii="Times New Roman" w:hAnsi="Times New Roman"/>
          <w:sz w:val="22"/>
          <w:szCs w:val="22"/>
        </w:rPr>
      </w:pPr>
      <w:r>
        <w:rPr>
          <w:rFonts w:hint="eastAsia" w:ascii="Times New Roman" w:hAnsi="宋体"/>
          <w:sz w:val="22"/>
          <w:szCs w:val="22"/>
        </w:rPr>
        <w:t>2.5</w:t>
      </w:r>
      <w:r>
        <w:rPr>
          <w:rFonts w:hAnsi="宋体"/>
          <w:b/>
          <w:sz w:val="22"/>
          <w:szCs w:val="22"/>
        </w:rPr>
        <w:t>电力供应</w:t>
      </w:r>
      <w:bookmarkEnd w:id="103"/>
    </w:p>
    <w:p>
      <w:pPr>
        <w:pStyle w:val="22"/>
        <w:spacing w:line="420" w:lineRule="exact"/>
        <w:ind w:firstLine="440"/>
        <w:rPr>
          <w:rFonts w:ascii="Times New Roman" w:hAnsi="Times New Roman"/>
          <w:sz w:val="22"/>
          <w:szCs w:val="22"/>
        </w:rPr>
      </w:pPr>
      <w:r>
        <w:rPr>
          <w:rFonts w:ascii="Times New Roman" w:hAnsi="宋体"/>
          <w:sz w:val="22"/>
          <w:szCs w:val="22"/>
        </w:rPr>
        <w:t>额定电压：</w:t>
      </w:r>
      <w:r>
        <w:rPr>
          <w:rFonts w:ascii="Times New Roman" w:hAnsi="Times New Roman"/>
          <w:sz w:val="22"/>
          <w:szCs w:val="22"/>
        </w:rPr>
        <w:t xml:space="preserve">  AC 380V</w:t>
      </w:r>
      <w:r>
        <w:rPr>
          <w:rFonts w:ascii="Times New Roman" w:hAnsi="宋体"/>
          <w:sz w:val="22"/>
          <w:szCs w:val="22"/>
        </w:rPr>
        <w:t>或</w:t>
      </w:r>
      <w:r>
        <w:rPr>
          <w:rFonts w:ascii="Times New Roman" w:hAnsi="Times New Roman"/>
          <w:sz w:val="22"/>
          <w:szCs w:val="22"/>
        </w:rPr>
        <w:t>220V  TN-S</w:t>
      </w:r>
      <w:r>
        <w:rPr>
          <w:rFonts w:ascii="Times New Roman" w:hAnsi="宋体"/>
          <w:sz w:val="22"/>
          <w:szCs w:val="22"/>
        </w:rPr>
        <w:t>系统</w:t>
      </w:r>
      <w:r>
        <w:rPr>
          <w:rFonts w:ascii="Times New Roman" w:hAnsi="Times New Roman"/>
          <w:sz w:val="22"/>
          <w:szCs w:val="22"/>
        </w:rPr>
        <w:t xml:space="preserve">  </w:t>
      </w:r>
    </w:p>
    <w:p>
      <w:pPr>
        <w:pStyle w:val="22"/>
        <w:spacing w:line="420" w:lineRule="exact"/>
        <w:ind w:firstLine="440"/>
        <w:rPr>
          <w:rFonts w:ascii="Times New Roman" w:hAnsi="Times New Roman"/>
          <w:sz w:val="22"/>
          <w:szCs w:val="22"/>
        </w:rPr>
      </w:pPr>
      <w:r>
        <w:rPr>
          <w:rFonts w:ascii="Times New Roman" w:hAnsi="宋体"/>
          <w:sz w:val="22"/>
          <w:szCs w:val="22"/>
        </w:rPr>
        <w:t>额定频率：</w:t>
      </w:r>
      <w:r>
        <w:rPr>
          <w:rFonts w:ascii="Times New Roman" w:hAnsi="Times New Roman"/>
          <w:sz w:val="22"/>
          <w:szCs w:val="22"/>
        </w:rPr>
        <w:tab/>
      </w:r>
      <w:r>
        <w:rPr>
          <w:rFonts w:ascii="Times New Roman" w:hAnsi="Times New Roman"/>
          <w:sz w:val="22"/>
          <w:szCs w:val="22"/>
        </w:rPr>
        <w:t>50HZ  ±2%</w:t>
      </w:r>
    </w:p>
    <w:p>
      <w:pPr>
        <w:pStyle w:val="22"/>
        <w:spacing w:line="420" w:lineRule="exact"/>
        <w:ind w:firstLine="440"/>
        <w:rPr>
          <w:rFonts w:ascii="Times New Roman" w:hAnsi="Times New Roman"/>
          <w:sz w:val="22"/>
          <w:szCs w:val="22"/>
        </w:rPr>
      </w:pPr>
      <w:r>
        <w:rPr>
          <w:rFonts w:ascii="Times New Roman" w:hAnsi="宋体"/>
          <w:sz w:val="22"/>
          <w:szCs w:val="22"/>
        </w:rPr>
        <w:t>电压波动：</w:t>
      </w:r>
      <w:r>
        <w:rPr>
          <w:rFonts w:ascii="Times New Roman" w:hAnsi="Times New Roman"/>
          <w:sz w:val="22"/>
          <w:szCs w:val="22"/>
        </w:rPr>
        <w:tab/>
      </w:r>
      <w:r>
        <w:rPr>
          <w:rFonts w:ascii="Times New Roman" w:hAnsi="Times New Roman"/>
          <w:sz w:val="22"/>
          <w:szCs w:val="22"/>
        </w:rPr>
        <w:t>±10%</w:t>
      </w:r>
    </w:p>
    <w:p>
      <w:pPr>
        <w:pStyle w:val="22"/>
        <w:spacing w:line="420" w:lineRule="exact"/>
        <w:ind w:firstLine="440"/>
        <w:rPr>
          <w:rFonts w:ascii="Times New Roman" w:hAnsi="Times New Roman"/>
          <w:sz w:val="22"/>
          <w:szCs w:val="22"/>
        </w:rPr>
      </w:pPr>
      <w:r>
        <w:rPr>
          <w:rFonts w:ascii="Times New Roman" w:hAnsi="宋体"/>
          <w:sz w:val="22"/>
          <w:szCs w:val="22"/>
        </w:rPr>
        <w:t>接地电阻：</w:t>
      </w:r>
      <w:r>
        <w:rPr>
          <w:rFonts w:ascii="Times New Roman" w:hAnsi="Times New Roman"/>
          <w:sz w:val="22"/>
          <w:szCs w:val="22"/>
        </w:rPr>
        <w:tab/>
      </w:r>
      <w:r>
        <w:rPr>
          <w:rFonts w:ascii="Times New Roman" w:hAnsi="Times New Roman"/>
          <w:sz w:val="22"/>
          <w:szCs w:val="22"/>
        </w:rPr>
        <w:t>≤1Ω</w:t>
      </w:r>
    </w:p>
    <w:p>
      <w:pPr>
        <w:spacing w:line="420" w:lineRule="exact"/>
        <w:ind w:firstLine="440" w:firstLineChars="200"/>
        <w:rPr>
          <w:sz w:val="22"/>
        </w:rPr>
      </w:pPr>
      <w:r>
        <w:rPr>
          <w:rFonts w:hAnsi="宋体"/>
          <w:sz w:val="22"/>
        </w:rPr>
        <w:t>零地电压：</w:t>
      </w:r>
      <w:r>
        <w:rPr>
          <w:sz w:val="22"/>
        </w:rPr>
        <w:t xml:space="preserve"> ≤1V</w:t>
      </w:r>
      <w:bookmarkStart w:id="104" w:name="_Toc231524248"/>
    </w:p>
    <w:p>
      <w:pPr>
        <w:spacing w:line="420" w:lineRule="exact"/>
        <w:rPr>
          <w:sz w:val="22"/>
        </w:rPr>
      </w:pPr>
      <w:r>
        <w:rPr>
          <w:rFonts w:hint="eastAsia"/>
          <w:sz w:val="22"/>
        </w:rPr>
        <w:t>2.6</w:t>
      </w:r>
      <w:r>
        <w:rPr>
          <w:rFonts w:hAnsi="宋体"/>
          <w:b/>
          <w:sz w:val="22"/>
        </w:rPr>
        <w:t>冷却、通风要求</w:t>
      </w:r>
      <w:bookmarkEnd w:id="104"/>
    </w:p>
    <w:p>
      <w:pPr>
        <w:pStyle w:val="22"/>
        <w:spacing w:line="420" w:lineRule="exact"/>
        <w:ind w:firstLine="440"/>
        <w:rPr>
          <w:rFonts w:ascii="Times New Roman" w:hAnsi="宋体"/>
          <w:sz w:val="22"/>
          <w:szCs w:val="22"/>
        </w:rPr>
      </w:pPr>
      <w:r>
        <w:rPr>
          <w:rFonts w:ascii="Times New Roman" w:hAnsi="宋体"/>
          <w:sz w:val="22"/>
          <w:szCs w:val="22"/>
        </w:rPr>
        <w:t>投标人应说明设备的散热方式，设备的冷却优选自然通风散热方式。</w:t>
      </w:r>
    </w:p>
    <w:p>
      <w:pPr>
        <w:pStyle w:val="22"/>
        <w:spacing w:line="420" w:lineRule="exact"/>
        <w:ind w:firstLine="440"/>
        <w:rPr>
          <w:rFonts w:ascii="Times New Roman" w:hAnsi="宋体"/>
          <w:sz w:val="22"/>
          <w:szCs w:val="22"/>
        </w:rPr>
      </w:pPr>
    </w:p>
    <w:p>
      <w:pPr>
        <w:widowControl/>
        <w:spacing w:line="420" w:lineRule="exact"/>
        <w:jc w:val="left"/>
        <w:rPr>
          <w:rFonts w:ascii="宋体" w:hAnsi="宋体" w:cs="Arial"/>
          <w:b/>
          <w:kern w:val="0"/>
          <w:sz w:val="22"/>
        </w:rPr>
      </w:pPr>
      <w:r>
        <w:rPr>
          <w:rFonts w:hint="eastAsia" w:ascii="宋体" w:hAnsi="宋体" w:cs="Arial"/>
          <w:b/>
          <w:kern w:val="0"/>
          <w:sz w:val="22"/>
        </w:rPr>
        <w:t>三、安装及调试</w:t>
      </w:r>
    </w:p>
    <w:p>
      <w:pPr>
        <w:widowControl/>
        <w:spacing w:line="420" w:lineRule="exact"/>
        <w:ind w:firstLine="555"/>
        <w:jc w:val="left"/>
        <w:rPr>
          <w:rFonts w:ascii="宋体" w:hAnsi="宋体" w:cs="Arial"/>
          <w:kern w:val="0"/>
          <w:sz w:val="22"/>
        </w:rPr>
      </w:pPr>
      <w:r>
        <w:rPr>
          <w:rFonts w:hint="eastAsia" w:ascii="宋体" w:hAnsi="宋体" w:cs="Arial"/>
          <w:kern w:val="0"/>
          <w:sz w:val="22"/>
        </w:rPr>
        <w:t>3.1.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spacing w:line="420" w:lineRule="exact"/>
        <w:ind w:firstLine="555"/>
        <w:jc w:val="left"/>
        <w:rPr>
          <w:rFonts w:ascii="宋体" w:hAnsi="宋体" w:cs="Arial"/>
          <w:kern w:val="0"/>
          <w:sz w:val="22"/>
        </w:rPr>
      </w:pPr>
      <w:r>
        <w:rPr>
          <w:rFonts w:hint="eastAsia" w:ascii="宋体" w:hAnsi="宋体" w:cs="Arial"/>
          <w:kern w:val="0"/>
          <w:sz w:val="22"/>
        </w:rPr>
        <w:t>3.2.产品到达采购单位时，中标人必须依照招标文件货物需求和报价响应的承诺，将产品、系统安装并调试至正常运行的最佳状态，并向招标人提供相关的应用培训，否则采购人有权拒绝收货验货。</w:t>
      </w:r>
    </w:p>
    <w:p>
      <w:pPr>
        <w:widowControl/>
        <w:spacing w:line="420" w:lineRule="exact"/>
        <w:jc w:val="left"/>
        <w:rPr>
          <w:rFonts w:ascii="宋体" w:hAnsi="宋体" w:cs="Arial"/>
          <w:b/>
          <w:kern w:val="0"/>
          <w:sz w:val="22"/>
        </w:rPr>
      </w:pPr>
      <w:r>
        <w:rPr>
          <w:rFonts w:hint="eastAsia" w:ascii="宋体" w:hAnsi="宋体" w:cs="Arial"/>
          <w:b/>
          <w:kern w:val="0"/>
          <w:sz w:val="22"/>
        </w:rPr>
        <w:t>四、知识产权</w:t>
      </w:r>
    </w:p>
    <w:p>
      <w:pPr>
        <w:pStyle w:val="5"/>
        <w:spacing w:after="0" w:line="420" w:lineRule="exact"/>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widowControl/>
        <w:jc w:val="left"/>
        <w:rPr>
          <w:rFonts w:ascii="宋体" w:hAnsi="宋体" w:cs="Arial"/>
          <w:b/>
          <w:kern w:val="0"/>
          <w:sz w:val="22"/>
        </w:rPr>
      </w:pPr>
    </w:p>
    <w:p>
      <w:pPr>
        <w:widowControl/>
        <w:jc w:val="left"/>
        <w:rPr>
          <w:rFonts w:ascii="宋体" w:hAnsi="宋体" w:cs="Arial"/>
          <w:b/>
          <w:kern w:val="0"/>
          <w:sz w:val="22"/>
        </w:rPr>
      </w:pPr>
      <w:r>
        <w:rPr>
          <w:rFonts w:hint="eastAsia" w:ascii="宋体" w:hAnsi="宋体" w:cs="Arial"/>
          <w:b/>
          <w:kern w:val="0"/>
          <w:sz w:val="22"/>
        </w:rPr>
        <w:t>五、售后服务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本项目产品的质量保修期默认为自验收通过之日起，所投产品原厂（整机）免费上门保修，保修二年</w:t>
      </w:r>
      <w:r>
        <w:rPr>
          <w:rFonts w:hint="eastAsia" w:ascii="宋体" w:hAnsi="宋体" w:cs="Arial"/>
          <w:kern w:val="0"/>
          <w:sz w:val="22"/>
        </w:rPr>
        <w:t>（</w:t>
      </w:r>
      <w:r>
        <w:rPr>
          <w:rFonts w:hint="eastAsia" w:cs="宋体"/>
        </w:rPr>
        <w:t>若第三方产品免费保修期明确大于二年的则按原厂商的承诺执行）</w:t>
      </w:r>
      <w:r>
        <w:rPr>
          <w:rFonts w:hint="eastAsia" w:ascii="宋体" w:hAnsi="宋体" w:cs="Arial"/>
          <w:b/>
          <w:bCs/>
          <w:kern w:val="0"/>
          <w:sz w:val="22"/>
        </w:rPr>
        <w:t>。</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并且没收全部履约保证金。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48"/>
          <w:szCs w:val="48"/>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105" w:name="_Toc11897"/>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5"/>
    </w:p>
    <w:p>
      <w:pPr>
        <w:jc w:val="center"/>
      </w:pPr>
      <w:r>
        <w:rPr>
          <w:rFonts w:hint="eastAsia"/>
        </w:rPr>
        <w:t>杭州萧山国际机场宣传显示屏采购及安装项目合同</w:t>
      </w:r>
    </w:p>
    <w:p>
      <w:pPr>
        <w:pStyle w:val="4"/>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w:t>
      </w:r>
      <w:r>
        <w:rPr>
          <w:rFonts w:hint="eastAsia" w:ascii="宋体" w:hAnsi="宋体"/>
          <w:b/>
          <w:bCs/>
          <w:szCs w:val="21"/>
        </w:rPr>
        <w:t>固定总价合同</w:t>
      </w:r>
      <w:r>
        <w:rPr>
          <w:rFonts w:hint="eastAsia" w:ascii="宋体" w:hAnsi="宋体"/>
          <w:szCs w:val="21"/>
        </w:rPr>
        <w:t>，合同金额为（大写）：人民币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106" w:name="_Toc13006"/>
      <w:bookmarkStart w:id="107" w:name="_Toc9351384"/>
      <w:r>
        <w:rPr>
          <w:rFonts w:hint="eastAsia" w:ascii="宋体" w:hAnsi="宋体"/>
          <w:b/>
          <w:szCs w:val="21"/>
        </w:rPr>
        <w:t>六、转包或分包</w:t>
      </w:r>
      <w:bookmarkEnd w:id="106"/>
      <w:bookmarkEnd w:id="107"/>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szCs w:val="21"/>
        </w:rPr>
      </w:pPr>
      <w:bookmarkStart w:id="108" w:name="_Toc9143"/>
      <w:bookmarkStart w:id="109" w:name="_Toc9351385"/>
      <w:r>
        <w:rPr>
          <w:rFonts w:hint="eastAsia" w:ascii="宋体" w:hAnsi="宋体"/>
          <w:b/>
          <w:szCs w:val="21"/>
        </w:rPr>
        <w:t>七、产品包装、发运及运输</w:t>
      </w:r>
      <w:bookmarkEnd w:id="108"/>
      <w:bookmarkEnd w:id="109"/>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110" w:name="_Toc9351386"/>
      <w:bookmarkStart w:id="111" w:name="_Toc25201"/>
      <w:r>
        <w:rPr>
          <w:rFonts w:hint="eastAsia" w:ascii="宋体" w:hAnsi="宋体"/>
          <w:b/>
          <w:szCs w:val="21"/>
        </w:rPr>
        <w:t>八、交货期、交货方式及交货地点</w:t>
      </w:r>
      <w:bookmarkEnd w:id="110"/>
      <w:bookmarkEnd w:id="111"/>
    </w:p>
    <w:p>
      <w:pPr>
        <w:adjustRightInd w:val="0"/>
        <w:snapToGrid w:val="0"/>
        <w:spacing w:line="276" w:lineRule="auto"/>
        <w:ind w:firstLine="420" w:firstLineChars="200"/>
        <w:rPr>
          <w:rFonts w:ascii="宋体" w:hAnsi="宋体"/>
          <w:szCs w:val="21"/>
        </w:rPr>
      </w:pPr>
      <w:r>
        <w:rPr>
          <w:rFonts w:hint="eastAsia" w:ascii="宋体" w:hAnsi="宋体"/>
          <w:szCs w:val="21"/>
        </w:rPr>
        <w:t>1. 交货期（含安装调试）：合同生效之日起【90】个日历天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ascii="宋体" w:hAnsi="宋体"/>
          <w:b/>
          <w:szCs w:val="21"/>
        </w:rPr>
      </w:pPr>
      <w:bookmarkStart w:id="112" w:name="_Toc9351387"/>
      <w:bookmarkStart w:id="113" w:name="_Toc4179"/>
      <w:r>
        <w:rPr>
          <w:rFonts w:hint="eastAsia" w:ascii="宋体" w:hAnsi="宋体"/>
          <w:b/>
          <w:szCs w:val="21"/>
        </w:rPr>
        <w:t>九、安装与验收</w:t>
      </w:r>
      <w:bookmarkEnd w:id="112"/>
      <w:bookmarkEnd w:id="113"/>
    </w:p>
    <w:p>
      <w:pPr>
        <w:pStyle w:val="18"/>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18"/>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18"/>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乙方应当在收到甲方前述第1款异议之日起【</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8"/>
        <w:adjustRightInd w:val="0"/>
        <w:snapToGrid w:val="0"/>
        <w:spacing w:line="276" w:lineRule="auto"/>
        <w:ind w:firstLine="422" w:firstLineChars="200"/>
        <w:rPr>
          <w:rFonts w:ascii="宋体" w:hAnsi="宋体"/>
          <w:szCs w:val="21"/>
        </w:rPr>
      </w:pPr>
      <w:r>
        <w:rPr>
          <w:rFonts w:ascii="宋体" w:hAnsi="宋体"/>
          <w:b/>
          <w:szCs w:val="21"/>
        </w:rPr>
        <w:t>4.</w:t>
      </w:r>
      <w:r>
        <w:rPr>
          <w:rFonts w:hint="eastAsia" w:ascii="宋体" w:hAnsi="宋体"/>
          <w:szCs w:val="21"/>
        </w:rPr>
        <w:t xml:space="preserve">验收要求：LED大屏宣传画面显示正常，大屏美观、大方；LCD液晶显示屏画面正常，安装牢固、美观；显示屏控制主机均能通过网络进行控制，传输宣传视频、画面；老的LED单色屏迁移到综合服务保障大楼二楼后，能正常工作，安装美观、牢固 </w:t>
      </w:r>
      <w:r>
        <w:rPr>
          <w:rFonts w:hint="eastAsia" w:cs="Arial"/>
          <w:sz w:val="22"/>
        </w:rPr>
        <w:t>。</w:t>
      </w:r>
    </w:p>
    <w:p>
      <w:pPr>
        <w:adjustRightInd w:val="0"/>
        <w:snapToGrid w:val="0"/>
        <w:spacing w:line="276" w:lineRule="auto"/>
        <w:ind w:firstLine="422" w:firstLineChars="200"/>
        <w:outlineLvl w:val="0"/>
        <w:rPr>
          <w:rFonts w:ascii="宋体" w:hAnsi="宋体"/>
          <w:b/>
          <w:szCs w:val="21"/>
        </w:rPr>
      </w:pPr>
      <w:bookmarkStart w:id="114" w:name="_Toc9351388"/>
      <w:bookmarkStart w:id="115" w:name="_Toc11562"/>
      <w:r>
        <w:rPr>
          <w:rFonts w:hint="eastAsia" w:ascii="宋体" w:hAnsi="宋体"/>
          <w:b/>
          <w:szCs w:val="21"/>
        </w:rPr>
        <w:t>十、货款支付</w:t>
      </w:r>
      <w:bookmarkEnd w:id="114"/>
      <w:bookmarkEnd w:id="115"/>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pStyle w:val="10"/>
        <w:spacing w:before="150" w:after="150" w:line="276" w:lineRule="auto"/>
        <w:ind w:firstLine="422" w:firstLineChars="200"/>
        <w:rPr>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116" w:name="_Toc9351389"/>
      <w:bookmarkStart w:id="117" w:name="_Toc29986"/>
      <w:r>
        <w:rPr>
          <w:rFonts w:hint="eastAsia" w:ascii="宋体" w:hAnsi="宋体"/>
          <w:b/>
          <w:szCs w:val="21"/>
        </w:rPr>
        <w:t>十二、免费质保期及服务内容</w:t>
      </w:r>
      <w:bookmarkEnd w:id="116"/>
      <w:bookmarkEnd w:id="117"/>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2.乙方应为产品提供【24】个月的免费质保期(含工时费和零部件费)，时间自甲方最终签署安装验收合格报告之日起计算。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5.免费质保期结束的【7】天前，乙方负责对产品进行一次全面的检修和维护，并由甲方验收认可。甲方验收认可并不免除乙方对于验收认可后发生的但尚在质保期限内的产品故障或损坏的维修、退换货义务。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并没收全部质保金。</w:t>
      </w:r>
    </w:p>
    <w:p>
      <w:pPr>
        <w:adjustRightInd w:val="0"/>
        <w:snapToGrid w:val="0"/>
        <w:spacing w:line="276" w:lineRule="auto"/>
        <w:ind w:firstLine="602"/>
        <w:outlineLvl w:val="0"/>
        <w:rPr>
          <w:rFonts w:ascii="宋体" w:hAnsi="宋体"/>
          <w:b/>
          <w:szCs w:val="21"/>
        </w:rPr>
      </w:pPr>
      <w:bookmarkStart w:id="118" w:name="_Toc19444"/>
      <w:bookmarkStart w:id="119" w:name="_Toc9351390"/>
      <w:r>
        <w:rPr>
          <w:rFonts w:hint="eastAsia" w:ascii="宋体" w:hAnsi="宋体"/>
          <w:b/>
          <w:szCs w:val="21"/>
        </w:rPr>
        <w:t>十三、违约责任</w:t>
      </w:r>
      <w:bookmarkEnd w:id="118"/>
      <w:bookmarkEnd w:id="119"/>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120" w:name="_Toc9351391"/>
      <w:bookmarkStart w:id="121" w:name="_Toc23744"/>
      <w:r>
        <w:rPr>
          <w:rFonts w:hint="eastAsia" w:ascii="宋体" w:hAnsi="宋体"/>
          <w:b/>
          <w:szCs w:val="21"/>
        </w:rPr>
        <w:t>十四、不可抗力事件处理</w:t>
      </w:r>
      <w:bookmarkEnd w:id="120"/>
      <w:bookmarkEnd w:id="121"/>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122" w:name="_Toc17986"/>
      <w:bookmarkStart w:id="123" w:name="_Toc9351392"/>
      <w:r>
        <w:rPr>
          <w:rFonts w:hint="eastAsia" w:ascii="宋体" w:hAnsi="宋体"/>
          <w:b/>
          <w:szCs w:val="21"/>
        </w:rPr>
        <w:t>十七、合同生效及其它</w:t>
      </w:r>
      <w:bookmarkEnd w:id="122"/>
      <w:bookmarkEnd w:id="123"/>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附件：（1）设备参数及详细配置表；（2）廉洁自律承诺书；（</w:t>
      </w:r>
      <w:r>
        <w:rPr>
          <w:rFonts w:ascii="宋体" w:hAnsi="宋体"/>
          <w:szCs w:val="21"/>
        </w:rPr>
        <w:t>3</w:t>
      </w:r>
      <w:r>
        <w:rPr>
          <w:rFonts w:hint="eastAsia" w:ascii="宋体" w:hAnsi="宋体"/>
          <w:szCs w:val="21"/>
        </w:rPr>
        <w:t>）保密承诺书 （4）安全文明施工协议书</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widowControl/>
        <w:jc w:val="left"/>
        <w:rPr>
          <w:rFonts w:ascii="宋体" w:hAnsi="宋体"/>
          <w:bCs/>
          <w:kern w:val="0"/>
          <w:sz w:val="22"/>
        </w:rPr>
      </w:pPr>
      <w:r>
        <w:rPr>
          <w:rFonts w:hAnsi="宋体" w:cs="Calibri"/>
          <w:bCs/>
          <w:sz w:val="22"/>
        </w:rPr>
        <w:br w:type="page"/>
      </w:r>
    </w:p>
    <w:p>
      <w:pPr>
        <w:widowControl/>
        <w:jc w:val="left"/>
        <w:rPr>
          <w:rFonts w:ascii="宋体" w:hAnsi="宋体"/>
          <w:bCs/>
          <w:kern w:val="0"/>
          <w:sz w:val="22"/>
        </w:rPr>
      </w:pPr>
    </w:p>
    <w:p>
      <w:pPr>
        <w:pStyle w:val="4"/>
        <w:spacing w:line="276" w:lineRule="auto"/>
        <w:rPr>
          <w:rFonts w:hAnsi="宋体" w:cs="Calibri"/>
          <w:bCs/>
          <w:sz w:val="22"/>
          <w:szCs w:val="22"/>
        </w:rPr>
      </w:pPr>
      <w:r>
        <w:rPr>
          <w:rFonts w:hint="eastAsia" w:hAnsi="宋体" w:cs="Calibri"/>
          <w:bCs/>
          <w:sz w:val="22"/>
          <w:szCs w:val="22"/>
        </w:rPr>
        <w:t>附件1:廉洁自律承诺书</w:t>
      </w:r>
    </w:p>
    <w:p>
      <w:pPr>
        <w:pStyle w:val="4"/>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4"/>
        <w:spacing w:line="276" w:lineRule="auto"/>
        <w:ind w:firstLine="420"/>
        <w:rPr>
          <w:rFonts w:hAnsi="宋体" w:cs="Calibri"/>
          <w:bCs/>
          <w:sz w:val="22"/>
          <w:szCs w:val="22"/>
        </w:rPr>
      </w:pPr>
    </w:p>
    <w:p>
      <w:pPr>
        <w:pStyle w:val="4"/>
        <w:spacing w:line="276" w:lineRule="auto"/>
        <w:rPr>
          <w:rFonts w:hAnsi="宋体" w:cs="Calibri"/>
          <w:bCs/>
          <w:sz w:val="22"/>
          <w:szCs w:val="22"/>
        </w:rPr>
      </w:pPr>
      <w:r>
        <w:rPr>
          <w:rFonts w:hint="eastAsia" w:hAnsi="宋体" w:cs="Calibri"/>
          <w:bCs/>
          <w:sz w:val="22"/>
          <w:szCs w:val="22"/>
        </w:rPr>
        <w:t>附件2：保密承诺书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4"/>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4"/>
        <w:spacing w:line="276" w:lineRule="auto"/>
        <w:ind w:firstLine="420"/>
        <w:rPr>
          <w:rFonts w:hAnsi="宋体" w:cs="Calibri"/>
          <w:bCs/>
          <w:sz w:val="22"/>
          <w:szCs w:val="22"/>
        </w:rPr>
      </w:pPr>
      <w:r>
        <w:rPr>
          <w:rFonts w:hint="eastAsia" w:hAnsi="宋体" w:cs="Calibri"/>
          <w:bCs/>
          <w:sz w:val="22"/>
          <w:szCs w:val="22"/>
        </w:rPr>
        <w:t>1.商业秘密</w:t>
      </w:r>
    </w:p>
    <w:p>
      <w:pPr>
        <w:pStyle w:val="4"/>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4"/>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4"/>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4"/>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4"/>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4"/>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4"/>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4"/>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4"/>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4"/>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4"/>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4"/>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4"/>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4"/>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4"/>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4"/>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4"/>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8、违约责任</w:t>
      </w:r>
    </w:p>
    <w:p>
      <w:pPr>
        <w:pStyle w:val="4"/>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4"/>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4"/>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4"/>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4"/>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4"/>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4"/>
        <w:spacing w:line="276" w:lineRule="auto"/>
        <w:ind w:firstLine="3960" w:firstLineChars="1800"/>
        <w:rPr>
          <w:rFonts w:hAnsi="宋体" w:cs="Calibri"/>
          <w:bCs/>
          <w:sz w:val="22"/>
          <w:szCs w:val="22"/>
        </w:rPr>
      </w:pPr>
      <w:r>
        <w:rPr>
          <w:rFonts w:hint="eastAsia" w:hAnsi="宋体" w:cs="Calibri"/>
          <w:bCs/>
          <w:sz w:val="22"/>
          <w:szCs w:val="22"/>
        </w:rPr>
        <w:t>地址：</w:t>
      </w:r>
    </w:p>
    <w:p>
      <w:pPr>
        <w:spacing w:line="276" w:lineRule="auto"/>
        <w:ind w:firstLine="3960" w:firstLineChars="1800"/>
        <w:rPr>
          <w:rFonts w:ascii="宋体" w:hAnsi="宋体"/>
          <w:sz w:val="22"/>
        </w:rPr>
      </w:pPr>
      <w:r>
        <w:rPr>
          <w:rFonts w:hint="eastAsia" w:hAnsi="宋体" w:cs="Calibri"/>
          <w:bCs/>
          <w:sz w:val="22"/>
        </w:rPr>
        <w:t>日期：</w:t>
      </w:r>
      <w:r>
        <w:rPr>
          <w:rFonts w:hint="eastAsia" w:ascii="宋体" w:hAnsi="宋体"/>
          <w:sz w:val="22"/>
        </w:rPr>
        <w:t xml:space="preserve">     年  </w:t>
      </w:r>
      <w:r>
        <w:rPr>
          <w:rFonts w:hAnsi="宋体" w:cs="Calibri"/>
          <w:bCs/>
          <w:sz w:val="22"/>
        </w:rPr>
        <w:t xml:space="preserve"> </w:t>
      </w:r>
      <w:r>
        <w:rPr>
          <w:rFonts w:hint="eastAsia" w:ascii="宋体" w:hAnsi="宋体"/>
          <w:sz w:val="22"/>
        </w:rPr>
        <w:t xml:space="preserve">月  </w:t>
      </w:r>
      <w:r>
        <w:rPr>
          <w:rFonts w:hAnsi="宋体" w:cs="Calibri"/>
          <w:bCs/>
          <w:sz w:val="22"/>
        </w:rPr>
        <w:t xml:space="preserve"> </w:t>
      </w:r>
      <w:r>
        <w:rPr>
          <w:rFonts w:hint="eastAsia" w:ascii="宋体" w:hAnsi="宋体"/>
          <w:sz w:val="22"/>
        </w:rPr>
        <w:t>日</w:t>
      </w:r>
    </w:p>
    <w:p>
      <w:pPr>
        <w:widowControl/>
        <w:jc w:val="left"/>
        <w:rPr>
          <w:rFonts w:cs="仿宋_GB2312" w:asciiTheme="minorEastAsia" w:hAnsiTheme="minorEastAsia"/>
          <w:szCs w:val="21"/>
        </w:rPr>
      </w:pPr>
      <w:r>
        <w:rPr>
          <w:rFonts w:ascii="宋体" w:hAnsi="宋体"/>
          <w:sz w:val="22"/>
        </w:rPr>
        <w:br w:type="page"/>
      </w:r>
      <w:r>
        <w:rPr>
          <w:rFonts w:hint="eastAsia" w:cs="仿宋_GB2312" w:asciiTheme="minorEastAsia" w:hAnsiTheme="minorEastAsia"/>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jc w:val="left"/>
        <w:rPr>
          <w:rFonts w:ascii="宋体" w:hAnsi="宋体"/>
          <w:b/>
          <w:sz w:val="22"/>
        </w:rPr>
      </w:pPr>
      <w:r>
        <w:rPr>
          <w:rFonts w:ascii="宋体" w:hAnsi="宋体"/>
          <w:b/>
          <w:sz w:val="22"/>
        </w:rPr>
        <w:br w:type="page"/>
      </w:r>
    </w:p>
    <w:p>
      <w:pPr>
        <w:jc w:val="center"/>
        <w:rPr>
          <w:b/>
          <w:sz w:val="36"/>
          <w:szCs w:val="36"/>
        </w:rPr>
      </w:pPr>
      <w:r>
        <w:rPr>
          <w:rFonts w:hint="eastAsia"/>
          <w:b/>
          <w:sz w:val="36"/>
          <w:szCs w:val="36"/>
        </w:rPr>
        <w:t>杭州萧山国际机场基建项目安全文明施工考核办法</w:t>
      </w:r>
    </w:p>
    <w:p>
      <w:pPr>
        <w:rPr>
          <w:rFonts w:asciiTheme="minorEastAsia" w:hAnsiTheme="minorEastAsia"/>
          <w:sz w:val="22"/>
        </w:rPr>
      </w:pPr>
    </w:p>
    <w:p>
      <w:pPr>
        <w:spacing w:line="276" w:lineRule="auto"/>
        <w:ind w:firstLine="440" w:firstLineChars="200"/>
        <w:rPr>
          <w:rFonts w:asciiTheme="minorEastAsia" w:hAnsiTheme="minorEastAsia"/>
          <w:sz w:val="22"/>
        </w:rPr>
      </w:pPr>
      <w:r>
        <w:rPr>
          <w:rFonts w:hint="eastAsia" w:asciiTheme="minorEastAsia" w:hAnsiTheme="minorEastAsia"/>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276" w:lineRule="auto"/>
        <w:ind w:firstLine="440" w:firstLineChars="200"/>
        <w:rPr>
          <w:rFonts w:asciiTheme="minorEastAsia" w:hAnsiTheme="minorEastAsia"/>
          <w:sz w:val="22"/>
        </w:rPr>
      </w:pPr>
      <w:r>
        <w:rPr>
          <w:rFonts w:hint="eastAsia" w:asciiTheme="minorEastAsia" w:hAnsiTheme="minorEastAsia"/>
          <w:sz w:val="22"/>
        </w:rPr>
        <w:t>一、考核原则</w:t>
      </w:r>
    </w:p>
    <w:p>
      <w:pPr>
        <w:spacing w:line="276" w:lineRule="auto"/>
        <w:ind w:firstLine="440" w:firstLineChars="200"/>
        <w:rPr>
          <w:rFonts w:asciiTheme="minorEastAsia" w:hAnsiTheme="minorEastAsia"/>
          <w:sz w:val="22"/>
        </w:rPr>
      </w:pPr>
      <w:r>
        <w:rPr>
          <w:rFonts w:hint="eastAsia" w:asciiTheme="minorEastAsia" w:hAnsiTheme="minorEastAsia"/>
          <w:sz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276" w:lineRule="auto"/>
        <w:ind w:firstLine="440" w:firstLineChars="200"/>
        <w:rPr>
          <w:rFonts w:asciiTheme="minorEastAsia" w:hAnsiTheme="minorEastAsia"/>
          <w:sz w:val="22"/>
        </w:rPr>
      </w:pPr>
      <w:r>
        <w:rPr>
          <w:rFonts w:hint="eastAsia" w:asciiTheme="minorEastAsia" w:hAnsiTheme="minorEastAsia"/>
          <w:sz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276" w:lineRule="auto"/>
        <w:ind w:firstLine="440" w:firstLineChars="200"/>
        <w:rPr>
          <w:rFonts w:asciiTheme="minorEastAsia" w:hAnsiTheme="minorEastAsia"/>
          <w:sz w:val="22"/>
        </w:rPr>
      </w:pPr>
      <w:r>
        <w:rPr>
          <w:rFonts w:hint="eastAsia" w:asciiTheme="minorEastAsia" w:hAnsiTheme="minorEastAsia"/>
          <w:sz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276" w:lineRule="auto"/>
        <w:ind w:firstLine="440" w:firstLineChars="200"/>
        <w:rPr>
          <w:rFonts w:asciiTheme="minorEastAsia" w:hAnsiTheme="minorEastAsia"/>
          <w:sz w:val="22"/>
        </w:rPr>
      </w:pPr>
      <w:r>
        <w:rPr>
          <w:rFonts w:hint="eastAsia" w:asciiTheme="minorEastAsia" w:hAnsiTheme="minorEastAsia"/>
          <w:sz w:val="22"/>
        </w:rPr>
        <w:t>（四）考核与经济利益直接挂钩原则。以《安全文明施工工作联系单》确认的奖惩数额为准。</w:t>
      </w:r>
    </w:p>
    <w:p>
      <w:pPr>
        <w:spacing w:line="276" w:lineRule="auto"/>
        <w:ind w:firstLine="440" w:firstLineChars="200"/>
        <w:rPr>
          <w:rFonts w:asciiTheme="minorEastAsia" w:hAnsiTheme="minorEastAsia"/>
          <w:sz w:val="22"/>
        </w:rPr>
      </w:pPr>
      <w:r>
        <w:rPr>
          <w:rFonts w:hint="eastAsia" w:asciiTheme="minorEastAsia" w:hAnsiTheme="minorEastAsia"/>
          <w:sz w:val="22"/>
        </w:rPr>
        <w:t>二、适用范围</w:t>
      </w:r>
    </w:p>
    <w:p>
      <w:pPr>
        <w:spacing w:line="276" w:lineRule="auto"/>
        <w:ind w:firstLine="440" w:firstLineChars="200"/>
        <w:rPr>
          <w:rFonts w:asciiTheme="minorEastAsia" w:hAnsiTheme="minorEastAsia"/>
          <w:sz w:val="22"/>
        </w:rPr>
      </w:pPr>
      <w:r>
        <w:rPr>
          <w:rFonts w:hint="eastAsia" w:asciiTheme="minorEastAsia" w:hAnsiTheme="minorEastAsia"/>
          <w:sz w:val="22"/>
        </w:rPr>
        <w:t>本考核办法适用于参与杭州萧山国际机场基本建设的各施工监理单位。与总包单位签订分包合同的分包单位纳入对总包单位的考核，不作为被考核主体。</w:t>
      </w:r>
    </w:p>
    <w:p>
      <w:pPr>
        <w:spacing w:line="276" w:lineRule="auto"/>
        <w:ind w:firstLine="440" w:firstLineChars="200"/>
        <w:rPr>
          <w:rFonts w:asciiTheme="minorEastAsia" w:hAnsiTheme="minorEastAsia"/>
          <w:sz w:val="22"/>
        </w:rPr>
      </w:pPr>
      <w:r>
        <w:rPr>
          <w:rFonts w:hint="eastAsia" w:asciiTheme="minorEastAsia" w:hAnsiTheme="minorEastAsia"/>
          <w:sz w:val="22"/>
        </w:rPr>
        <w:t>三、考核程序</w:t>
      </w:r>
    </w:p>
    <w:p>
      <w:pPr>
        <w:spacing w:line="276" w:lineRule="auto"/>
        <w:ind w:firstLine="440" w:firstLineChars="200"/>
        <w:rPr>
          <w:rFonts w:asciiTheme="minorEastAsia" w:hAnsiTheme="minorEastAsia"/>
          <w:sz w:val="22"/>
        </w:rPr>
      </w:pPr>
      <w:r>
        <w:rPr>
          <w:rFonts w:hint="eastAsia" w:asciiTheme="minorEastAsia" w:hAnsiTheme="minorEastAsia"/>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276" w:lineRule="auto"/>
        <w:ind w:firstLine="440" w:firstLineChars="200"/>
        <w:rPr>
          <w:rFonts w:asciiTheme="minorEastAsia" w:hAnsiTheme="minorEastAsia"/>
          <w:sz w:val="22"/>
        </w:rPr>
      </w:pPr>
      <w:r>
        <w:rPr>
          <w:rFonts w:hint="eastAsia" w:asciiTheme="minorEastAsia" w:hAnsiTheme="minorEastAsia"/>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276" w:lineRule="auto"/>
        <w:ind w:firstLine="440" w:firstLineChars="200"/>
        <w:rPr>
          <w:rFonts w:asciiTheme="minorEastAsia" w:hAnsiTheme="minorEastAsia"/>
          <w:sz w:val="22"/>
        </w:rPr>
      </w:pPr>
      <w:r>
        <w:rPr>
          <w:rFonts w:hint="eastAsia" w:asciiTheme="minorEastAsia" w:hAnsiTheme="minorEastAsia"/>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spacing w:line="276" w:lineRule="auto"/>
        <w:ind w:firstLine="440" w:firstLineChars="200"/>
        <w:rPr>
          <w:rFonts w:asciiTheme="minorEastAsia" w:hAnsiTheme="minorEastAsia"/>
          <w:sz w:val="22"/>
        </w:rPr>
      </w:pPr>
      <w:r>
        <w:rPr>
          <w:rFonts w:hint="eastAsia" w:asciiTheme="minorEastAsia" w:hAnsiTheme="minorEastAsia"/>
          <w:sz w:val="22"/>
        </w:rPr>
        <w:t>（四）考核最终汇总兑现。各施工项目部工程结束后由信导部计算出累计处罚总数，从工程履约保证金中扣除，但不得超过工程履约保证金的</w:t>
      </w:r>
      <w:r>
        <w:rPr>
          <w:rFonts w:asciiTheme="minorEastAsia" w:hAnsiTheme="minorEastAsia"/>
          <w:sz w:val="22"/>
        </w:rPr>
        <w:t>20%</w:t>
      </w:r>
      <w:r>
        <w:rPr>
          <w:rFonts w:hint="eastAsia" w:asciiTheme="minorEastAsia" w:hAnsiTheme="minorEastAsia"/>
          <w:sz w:val="22"/>
        </w:rPr>
        <w:t>。</w:t>
      </w:r>
    </w:p>
    <w:p>
      <w:pPr>
        <w:spacing w:line="276" w:lineRule="auto"/>
        <w:ind w:firstLine="440" w:firstLineChars="200"/>
        <w:rPr>
          <w:rFonts w:asciiTheme="minorEastAsia" w:hAnsiTheme="minorEastAsia"/>
          <w:sz w:val="22"/>
        </w:rPr>
      </w:pPr>
      <w:r>
        <w:rPr>
          <w:rFonts w:hint="eastAsia" w:asciiTheme="minorEastAsia" w:hAnsiTheme="minorEastAsia"/>
          <w:sz w:val="22"/>
        </w:rPr>
        <w:t>四、其它</w:t>
      </w:r>
    </w:p>
    <w:p>
      <w:pPr>
        <w:spacing w:line="276" w:lineRule="auto"/>
        <w:ind w:firstLine="440" w:firstLineChars="200"/>
        <w:rPr>
          <w:rFonts w:asciiTheme="minorEastAsia" w:hAnsiTheme="minorEastAsia"/>
          <w:sz w:val="22"/>
        </w:rPr>
      </w:pPr>
      <w:r>
        <w:rPr>
          <w:rFonts w:hint="eastAsia" w:asciiTheme="minorEastAsia" w:hAnsiTheme="minorEastAsia"/>
          <w:sz w:val="22"/>
        </w:rPr>
        <w:t>（一）施工项目部突破《杭州萧山国际机场安全文明施工协议书》安全控制目标内容之一的，不属于本办法考核范围，由信导部依据有关规定直接进行处罚。</w:t>
      </w:r>
    </w:p>
    <w:p>
      <w:pPr>
        <w:spacing w:line="276" w:lineRule="auto"/>
        <w:ind w:firstLine="440" w:firstLineChars="200"/>
        <w:rPr>
          <w:rFonts w:asciiTheme="minorEastAsia" w:hAnsiTheme="minorEastAsia"/>
          <w:sz w:val="22"/>
        </w:rPr>
      </w:pPr>
      <w:r>
        <w:rPr>
          <w:rFonts w:hint="eastAsia" w:asciiTheme="minorEastAsia" w:hAnsiTheme="minorEastAsia"/>
          <w:sz w:val="22"/>
        </w:rPr>
        <w:t>（二）《处罚标准》中所称的“协议”是指机场公司与施工项目部签订的《杭州萧山国际机场安全文明施工协议书》及各种协议文件；“建标”是指《建筑施工安全检查标准》（</w:t>
      </w:r>
      <w:r>
        <w:rPr>
          <w:rFonts w:asciiTheme="minorEastAsia" w:hAnsiTheme="minorEastAsia"/>
          <w:sz w:val="22"/>
        </w:rPr>
        <w:t>JGJ59-2011</w:t>
      </w:r>
      <w:r>
        <w:rPr>
          <w:rFonts w:hint="eastAsia" w:asciiTheme="minorEastAsia" w:hAnsiTheme="minorEastAsia"/>
          <w:sz w:val="22"/>
        </w:rPr>
        <w:t>）。</w:t>
      </w:r>
    </w:p>
    <w:p>
      <w:pPr>
        <w:spacing w:line="276" w:lineRule="auto"/>
        <w:ind w:firstLine="440" w:firstLineChars="200"/>
        <w:rPr>
          <w:rFonts w:asciiTheme="minorEastAsia" w:hAnsiTheme="minorEastAsia"/>
          <w:sz w:val="22"/>
        </w:rPr>
      </w:pPr>
      <w:r>
        <w:rPr>
          <w:rFonts w:hint="eastAsia" w:asciiTheme="minorEastAsia" w:hAnsiTheme="minorEastAsia"/>
          <w:sz w:val="22"/>
        </w:rPr>
        <w:t>（三）施工项目部收到《安全文明施工工作联系单》后，在指定期限内仍未整改到位，加倍处罚直至整改到位为止。</w:t>
      </w:r>
    </w:p>
    <w:p>
      <w:pPr>
        <w:spacing w:line="276" w:lineRule="auto"/>
        <w:ind w:firstLine="440" w:firstLineChars="200"/>
        <w:rPr>
          <w:rFonts w:asciiTheme="minorEastAsia" w:hAnsiTheme="minorEastAsia"/>
          <w:sz w:val="22"/>
        </w:rPr>
      </w:pPr>
      <w:r>
        <w:rPr>
          <w:rFonts w:hint="eastAsia" w:asciiTheme="minorEastAsia" w:hAnsiTheme="minorEastAsia"/>
          <w:sz w:val="22"/>
        </w:rPr>
        <w:t>（四）本考核办法未作规定，但已违反国家相关法律、法规和安全生产规范、规程、标准及《杭州萧山国际机场安全文明施工协议书》的行为，由信导部参照《处罚标准》相关规定进行处罚。</w:t>
      </w:r>
    </w:p>
    <w:p>
      <w:pPr>
        <w:spacing w:line="276" w:lineRule="auto"/>
        <w:ind w:firstLine="440" w:firstLineChars="200"/>
        <w:rPr>
          <w:rFonts w:asciiTheme="minorEastAsia" w:hAnsiTheme="minorEastAsia"/>
          <w:sz w:val="22"/>
        </w:rPr>
      </w:pPr>
      <w:r>
        <w:rPr>
          <w:rFonts w:hint="eastAsia" w:asciiTheme="minorEastAsia" w:hAnsiTheme="minorEastAsia"/>
          <w:sz w:val="22"/>
        </w:rPr>
        <w:t>（五）本考核办法以实际发文为准。</w:t>
      </w:r>
    </w:p>
    <w:p/>
    <w:p>
      <w:r>
        <w:t xml:space="preserve">    </w:t>
      </w:r>
    </w:p>
    <w:p>
      <w:pPr>
        <w:jc w:val="center"/>
      </w:pPr>
      <w:r>
        <w:rPr>
          <w:rFonts w:hint="eastAsia"/>
        </w:rPr>
        <w:t>安全文明施工处罚标准</w:t>
      </w:r>
    </w:p>
    <w:p/>
    <w:tbl>
      <w:tblPr>
        <w:tblStyle w:val="14"/>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序列号</w:t>
            </w:r>
          </w:p>
        </w:tc>
        <w:tc>
          <w:tcPr>
            <w:tcW w:w="6660" w:type="dxa"/>
            <w:vAlign w:val="center"/>
          </w:tcPr>
          <w:p>
            <w:r>
              <w:rPr>
                <w:rFonts w:hint="eastAsia"/>
              </w:rPr>
              <w:t>内</w:t>
            </w:r>
            <w:r>
              <w:t xml:space="preserve">       </w:t>
            </w:r>
            <w:r>
              <w:rPr>
                <w:rFonts w:hint="eastAsia"/>
              </w:rPr>
              <w:t>容</w:t>
            </w:r>
          </w:p>
        </w:tc>
        <w:tc>
          <w:tcPr>
            <w:tcW w:w="720" w:type="dxa"/>
            <w:vAlign w:val="center"/>
          </w:tcPr>
          <w:p>
            <w:r>
              <w:rPr>
                <w:rFonts w:hint="eastAsia"/>
              </w:rPr>
              <w:t>依据</w:t>
            </w:r>
          </w:p>
        </w:tc>
        <w:tc>
          <w:tcPr>
            <w:tcW w:w="1440" w:type="dxa"/>
            <w:vAlign w:val="center"/>
          </w:tcPr>
          <w:p>
            <w:r>
              <w:rPr>
                <w:rFonts w:hint="eastAsia"/>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p>
        </w:tc>
        <w:tc>
          <w:tcPr>
            <w:tcW w:w="6660" w:type="dxa"/>
            <w:vAlign w:val="center"/>
          </w:tcPr>
          <w:p>
            <w:r>
              <w:rPr>
                <w:rFonts w:hint="eastAsia"/>
              </w:rPr>
              <w:t>隔离区施工</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w:t>
            </w:r>
          </w:p>
        </w:tc>
        <w:tc>
          <w:tcPr>
            <w:tcW w:w="6660" w:type="dxa"/>
          </w:tcPr>
          <w:p>
            <w:r>
              <w:rPr>
                <w:rFonts w:hint="eastAsia"/>
              </w:rPr>
              <w:t>未按照杭州国际机场隔离区施工组织方案、安全保障措施进行施工作业影响机场正常运行或造成不安全事件的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.2</w:t>
            </w:r>
          </w:p>
        </w:tc>
        <w:tc>
          <w:tcPr>
            <w:tcW w:w="6660" w:type="dxa"/>
          </w:tcPr>
          <w:p>
            <w:r>
              <w:rPr>
                <w:rFonts w:hint="eastAsia"/>
              </w:rPr>
              <w:t>无故不参加各类隔离区施工例会、专题会议的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.3</w:t>
            </w:r>
          </w:p>
        </w:tc>
        <w:tc>
          <w:tcPr>
            <w:tcW w:w="6660" w:type="dxa"/>
          </w:tcPr>
          <w:p>
            <w:r>
              <w:rPr>
                <w:rFonts w:hint="eastAsia"/>
              </w:rPr>
              <w:t>未对施工人员进行空防安全和运行安全教育培训或教育培训无台帐记录的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.4</w:t>
            </w:r>
          </w:p>
        </w:tc>
        <w:tc>
          <w:tcPr>
            <w:tcW w:w="6660" w:type="dxa"/>
          </w:tcPr>
          <w:p>
            <w:r>
              <w:rPr>
                <w:rFonts w:hint="eastAsia"/>
              </w:rPr>
              <w:t>施工进场前未对施工人员进行安全教育或交底的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.5</w:t>
            </w:r>
          </w:p>
        </w:tc>
        <w:tc>
          <w:tcPr>
            <w:tcW w:w="6660" w:type="dxa"/>
          </w:tcPr>
          <w:p>
            <w:r>
              <w:rPr>
                <w:rFonts w:hint="eastAsia"/>
              </w:rPr>
              <w:t>管理人员擅离岗位、未实施全程监管或未有效履行安全管理职责的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.6</w:t>
            </w:r>
          </w:p>
        </w:tc>
        <w:tc>
          <w:tcPr>
            <w:tcW w:w="6660" w:type="dxa"/>
          </w:tcPr>
          <w:p>
            <w:r>
              <w:rPr>
                <w:rFonts w:hint="eastAsia"/>
              </w:rPr>
              <w:t>现场不服从机场或信导部现场管理人员指挥、管理的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.7</w:t>
            </w:r>
          </w:p>
        </w:tc>
        <w:tc>
          <w:tcPr>
            <w:tcW w:w="6660" w:type="dxa"/>
            <w:vAlign w:val="center"/>
          </w:tcPr>
          <w:p>
            <w:r>
              <w:rPr>
                <w:rFonts w:hint="eastAsia"/>
              </w:rPr>
              <w:t>未按规定设置或撤除警戒围栏的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.8</w:t>
            </w:r>
          </w:p>
        </w:tc>
        <w:tc>
          <w:tcPr>
            <w:tcW w:w="6660" w:type="dxa"/>
            <w:vAlign w:val="center"/>
          </w:tcPr>
          <w:p>
            <w:r>
              <w:rPr>
                <w:rFonts w:hint="eastAsia"/>
              </w:rPr>
              <w:t>施工人员擅自侵入飞行活动区的</w:t>
            </w:r>
          </w:p>
        </w:tc>
        <w:tc>
          <w:tcPr>
            <w:tcW w:w="720" w:type="dxa"/>
            <w:vAlign w:val="center"/>
          </w:tcPr>
          <w:p>
            <w:r>
              <w:rPr>
                <w:rFonts w:hint="eastAsia"/>
              </w:rPr>
              <w:t>协议</w:t>
            </w:r>
          </w:p>
        </w:tc>
        <w:tc>
          <w:tcPr>
            <w:tcW w:w="1440" w:type="dxa"/>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.9</w:t>
            </w:r>
          </w:p>
        </w:tc>
        <w:tc>
          <w:tcPr>
            <w:tcW w:w="6660" w:type="dxa"/>
          </w:tcPr>
          <w:p>
            <w:r>
              <w:rPr>
                <w:rFonts w:hint="eastAsia"/>
              </w:rPr>
              <w:t>施工人员攀爬、翻越、跨越隔离围栏及其他安全防护设施或向控制区内传递物品等，尚未影响机场正常运行的</w:t>
            </w:r>
          </w:p>
        </w:tc>
        <w:tc>
          <w:tcPr>
            <w:tcW w:w="720" w:type="dxa"/>
            <w:vAlign w:val="center"/>
          </w:tcPr>
          <w:p>
            <w:r>
              <w:rPr>
                <w:rFonts w:hint="eastAsia"/>
              </w:rPr>
              <w:t>协议</w:t>
            </w:r>
          </w:p>
        </w:tc>
        <w:tc>
          <w:tcPr>
            <w:tcW w:w="1440" w:type="dxa"/>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.10</w:t>
            </w:r>
          </w:p>
        </w:tc>
        <w:tc>
          <w:tcPr>
            <w:tcW w:w="6660" w:type="dxa"/>
            <w:vAlign w:val="center"/>
          </w:tcPr>
          <w:p>
            <w:r>
              <w:rPr>
                <w:rFonts w:hint="eastAsia"/>
              </w:rPr>
              <w:t>施工人员擅自超越指定施工活动范围的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.11</w:t>
            </w:r>
          </w:p>
        </w:tc>
        <w:tc>
          <w:tcPr>
            <w:tcW w:w="6660" w:type="dxa"/>
            <w:vAlign w:val="center"/>
          </w:tcPr>
          <w:p>
            <w:r>
              <w:rPr>
                <w:rFonts w:hint="eastAsia"/>
              </w:rPr>
              <w:t>不按要求作业，挖破或挖断地下管线</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.12</w:t>
            </w:r>
          </w:p>
        </w:tc>
        <w:tc>
          <w:tcPr>
            <w:tcW w:w="6660" w:type="dxa"/>
            <w:vAlign w:val="center"/>
          </w:tcPr>
          <w:p>
            <w:r>
              <w:rPr>
                <w:rFonts w:hint="eastAsia"/>
              </w:rPr>
              <w:t>未做到工完场清，沿线道面、施工现场遗留工具、材料、垃圾未及时清理清扫的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.13</w:t>
            </w:r>
          </w:p>
        </w:tc>
        <w:tc>
          <w:tcPr>
            <w:tcW w:w="6660" w:type="dxa"/>
            <w:vAlign w:val="center"/>
          </w:tcPr>
          <w:p>
            <w:r>
              <w:rPr>
                <w:rFonts w:hint="eastAsia"/>
              </w:rPr>
              <w:t>发生其它违反《民用机场运行安全管理规定》（</w:t>
            </w:r>
            <w:r>
              <w:t>191</w:t>
            </w:r>
            <w:r>
              <w:rPr>
                <w:rFonts w:hint="eastAsia"/>
              </w:rPr>
              <w:t>号令）和杭州萧山国际机场安全运行管理规定行为的</w:t>
            </w:r>
          </w:p>
        </w:tc>
        <w:tc>
          <w:tcPr>
            <w:tcW w:w="720" w:type="dxa"/>
            <w:vAlign w:val="center"/>
          </w:tcPr>
          <w:p>
            <w:r>
              <w:rPr>
                <w:rFonts w:hint="eastAsia"/>
              </w:rPr>
              <w:t>方案</w:t>
            </w:r>
          </w:p>
        </w:tc>
        <w:tc>
          <w:tcPr>
            <w:tcW w:w="1440" w:type="dxa"/>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w:t>
            </w:r>
          </w:p>
        </w:tc>
        <w:tc>
          <w:tcPr>
            <w:tcW w:w="6660" w:type="dxa"/>
            <w:vAlign w:val="center"/>
          </w:tcPr>
          <w:p>
            <w:r>
              <w:rPr>
                <w:rFonts w:hint="eastAsia"/>
              </w:rPr>
              <w:t>空防安全</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w:t>
            </w:r>
          </w:p>
        </w:tc>
        <w:tc>
          <w:tcPr>
            <w:tcW w:w="6660" w:type="dxa"/>
          </w:tcPr>
          <w:p>
            <w:r>
              <w:rPr>
                <w:rFonts w:hint="eastAsia"/>
              </w:rPr>
              <w:t>进入控制区的人员不服从机场管理人员的管理、检查的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2.2</w:t>
            </w:r>
          </w:p>
        </w:tc>
        <w:tc>
          <w:tcPr>
            <w:tcW w:w="6660" w:type="dxa"/>
          </w:tcPr>
          <w:p>
            <w:r>
              <w:rPr>
                <w:rFonts w:hint="eastAsia"/>
              </w:rPr>
              <w:t>把关不严，提供虚假证明、证件或其它相关资料申办控制区人员通行证的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2.3</w:t>
            </w:r>
          </w:p>
        </w:tc>
        <w:tc>
          <w:tcPr>
            <w:tcW w:w="6660" w:type="dxa"/>
          </w:tcPr>
          <w:p>
            <w:r>
              <w:rPr>
                <w:rFonts w:hint="eastAsia"/>
              </w:rPr>
              <w:t>提供虚假车辆、设备证件、检验记录和保险凭证申办《车辆通行证》的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2.4</w:t>
            </w:r>
          </w:p>
        </w:tc>
        <w:tc>
          <w:tcPr>
            <w:tcW w:w="6660" w:type="dxa"/>
          </w:tcPr>
          <w:p>
            <w:r>
              <w:rPr>
                <w:rFonts w:hint="eastAsia"/>
              </w:rPr>
              <w:t>车辆证件、检验记录和保险凭证过期失效未补办后续手续，仍进入控制区施工作业的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2.5</w:t>
            </w:r>
          </w:p>
        </w:tc>
        <w:tc>
          <w:tcPr>
            <w:tcW w:w="6660" w:type="dxa"/>
          </w:tcPr>
          <w:p>
            <w:r>
              <w:rPr>
                <w:rFonts w:hint="eastAsia"/>
              </w:rPr>
              <w:t>未建立控制区通行证统一保管制度，无控制区通行证管理台帐或台帐记录不全的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2.6</w:t>
            </w:r>
          </w:p>
        </w:tc>
        <w:tc>
          <w:tcPr>
            <w:tcW w:w="6660" w:type="dxa"/>
          </w:tcPr>
          <w:p>
            <w:r>
              <w:rPr>
                <w:rFonts w:hint="eastAsia"/>
              </w:rPr>
              <w:t>发生无证施工人员进入控制区的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2.7</w:t>
            </w:r>
          </w:p>
        </w:tc>
        <w:tc>
          <w:tcPr>
            <w:tcW w:w="6660" w:type="dxa"/>
          </w:tcPr>
          <w:p>
            <w:r>
              <w:rPr>
                <w:rFonts w:hint="eastAsia"/>
              </w:rPr>
              <w:t>发生施工人员转借、涂改、冒用他人通行证的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2.8</w:t>
            </w:r>
          </w:p>
        </w:tc>
        <w:tc>
          <w:tcPr>
            <w:tcW w:w="6660" w:type="dxa"/>
          </w:tcPr>
          <w:p>
            <w:r>
              <w:rPr>
                <w:rFonts w:hint="eastAsia"/>
              </w:rPr>
              <w:t>人员、车辆通行证保管不善，造成丢失；或通行证遗失不及时上报的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2.9</w:t>
            </w:r>
          </w:p>
        </w:tc>
        <w:tc>
          <w:tcPr>
            <w:tcW w:w="6660" w:type="dxa"/>
          </w:tcPr>
          <w:p>
            <w:r>
              <w:rPr>
                <w:rFonts w:hint="eastAsia"/>
              </w:rPr>
              <w:t>人员调离、辞退、开除，车辆重新调配，或通行证到期，证件未在规定时限内交回注销的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2.10</w:t>
            </w:r>
          </w:p>
        </w:tc>
        <w:tc>
          <w:tcPr>
            <w:tcW w:w="6660" w:type="dxa"/>
          </w:tcPr>
          <w:p>
            <w:r>
              <w:rPr>
                <w:rFonts w:hint="eastAsia"/>
              </w:rPr>
              <w:t>施工队伍中有违法、犯罪人员，隐瞒不报的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2.11</w:t>
            </w:r>
          </w:p>
        </w:tc>
        <w:tc>
          <w:tcPr>
            <w:tcW w:w="6660" w:type="dxa"/>
          </w:tcPr>
          <w:p>
            <w:r>
              <w:rPr>
                <w:rFonts w:hint="eastAsia"/>
              </w:rPr>
              <w:t>毗邻控制区施工，未安装沿场区监控探头或监控探头存有盲区（段），监控无专人值守或值守人员离岗脱岗的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2.12</w:t>
            </w:r>
          </w:p>
        </w:tc>
        <w:tc>
          <w:tcPr>
            <w:tcW w:w="6660" w:type="dxa"/>
          </w:tcPr>
          <w:p>
            <w:r>
              <w:rPr>
                <w:rFonts w:hint="eastAsia"/>
              </w:rPr>
              <w:t>毗邻控制区施工，沿场区未设置专门看护的固定和巡逻保安岗位、保安人员擅离岗位或保安人员未履职管理的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2.13</w:t>
            </w:r>
          </w:p>
        </w:tc>
        <w:tc>
          <w:tcPr>
            <w:tcW w:w="6660" w:type="dxa"/>
          </w:tcPr>
          <w:p>
            <w:r>
              <w:rPr>
                <w:rFonts w:hint="eastAsia"/>
              </w:rPr>
              <w:t>在机场区域内燃放烟花、爆竹，或施放气球、风筝等升空物体的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2.14</w:t>
            </w:r>
          </w:p>
        </w:tc>
        <w:tc>
          <w:tcPr>
            <w:tcW w:w="6660" w:type="dxa"/>
          </w:tcPr>
          <w:p>
            <w:r>
              <w:rPr>
                <w:rFonts w:hint="eastAsia"/>
              </w:rPr>
              <w:t>在机场区域内饲养猫、狗、鸡、鸭等牲畜、动物的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2.15</w:t>
            </w:r>
          </w:p>
        </w:tc>
        <w:tc>
          <w:tcPr>
            <w:tcW w:w="6660" w:type="dxa"/>
          </w:tcPr>
          <w:p>
            <w:r>
              <w:rPr>
                <w:rFonts w:hint="eastAsia"/>
              </w:rPr>
              <w:t>其它违反民用航空安全、法律、法规和机场空防安全管理规定的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w:t>
            </w:r>
          </w:p>
        </w:tc>
        <w:tc>
          <w:tcPr>
            <w:tcW w:w="6660" w:type="dxa"/>
          </w:tcPr>
          <w:p>
            <w:r>
              <w:rPr>
                <w:rFonts w:hint="eastAsia"/>
              </w:rPr>
              <w:t>安全生产</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w:t>
            </w:r>
          </w:p>
        </w:tc>
        <w:tc>
          <w:tcPr>
            <w:tcW w:w="6660" w:type="dxa"/>
          </w:tcPr>
          <w:p>
            <w:r>
              <w:rPr>
                <w:rFonts w:hint="eastAsia"/>
              </w:rPr>
              <w:t>安全生产管理体制</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3.1.1</w:t>
            </w:r>
          </w:p>
        </w:tc>
        <w:tc>
          <w:tcPr>
            <w:tcW w:w="6660" w:type="dxa"/>
          </w:tcPr>
          <w:p>
            <w:r>
              <w:rPr>
                <w:rFonts w:hint="eastAsia"/>
              </w:rPr>
              <w:t>安全管理制度不健全，项目经理、项目技术负责人等各类管理人员（包括安全员、资料员、质控员）未按相关规定要求到位的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3.1.2</w:t>
            </w:r>
          </w:p>
        </w:tc>
        <w:tc>
          <w:tcPr>
            <w:tcW w:w="6660" w:type="dxa"/>
          </w:tcPr>
          <w:p>
            <w:r>
              <w:rPr>
                <w:rFonts w:hint="eastAsia"/>
              </w:rPr>
              <w:t>安全制度执行不力，无考核机制或考核制度执行不严</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3.1.3</w:t>
            </w:r>
          </w:p>
        </w:tc>
        <w:tc>
          <w:tcPr>
            <w:tcW w:w="6660" w:type="dxa"/>
            <w:tcBorders>
              <w:bottom w:val="single" w:color="auto" w:sz="2" w:space="0"/>
            </w:tcBorders>
          </w:tcPr>
          <w:p>
            <w:r>
              <w:rPr>
                <w:rFonts w:hint="eastAsia"/>
              </w:rPr>
              <w:t>安全责任制未建立</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3.1.4</w:t>
            </w:r>
          </w:p>
        </w:tc>
        <w:tc>
          <w:tcPr>
            <w:tcW w:w="6660" w:type="dxa"/>
            <w:tcBorders>
              <w:bottom w:val="single" w:color="auto" w:sz="2" w:space="0"/>
            </w:tcBorders>
          </w:tcPr>
          <w:p>
            <w:r>
              <w:rPr>
                <w:rFonts w:hint="eastAsia"/>
              </w:rPr>
              <w:t>安全责任制不健全，未层层签订至班组或岗位的各级安全责任书</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3.1.5</w:t>
            </w:r>
          </w:p>
        </w:tc>
        <w:tc>
          <w:tcPr>
            <w:tcW w:w="6660" w:type="dxa"/>
            <w:tcBorders>
              <w:top w:val="single" w:color="auto" w:sz="2" w:space="0"/>
              <w:bottom w:val="single" w:color="auto" w:sz="2" w:space="0"/>
            </w:tcBorders>
          </w:tcPr>
          <w:p>
            <w:r>
              <w:rPr>
                <w:rFonts w:hint="eastAsia"/>
              </w:rPr>
              <w:t>各级各部门未执行责任制的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3.1.6</w:t>
            </w:r>
          </w:p>
        </w:tc>
        <w:tc>
          <w:tcPr>
            <w:tcW w:w="6660" w:type="dxa"/>
            <w:tcBorders>
              <w:bottom w:val="single" w:color="auto" w:sz="2" w:space="0"/>
            </w:tcBorders>
          </w:tcPr>
          <w:p>
            <w:r>
              <w:rPr>
                <w:rFonts w:hint="eastAsia"/>
              </w:rPr>
              <w:t>经济承包中无安全生产、文明施工目标管理或目标管理不落实</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vAlign w:val="center"/>
          </w:tcPr>
          <w:p>
            <w:r>
              <w:t>3.1.7</w:t>
            </w:r>
          </w:p>
        </w:tc>
        <w:tc>
          <w:tcPr>
            <w:tcW w:w="6660" w:type="dxa"/>
            <w:tcBorders>
              <w:top w:val="single" w:color="auto" w:sz="2" w:space="0"/>
              <w:bottom w:val="single" w:color="auto" w:sz="2" w:space="0"/>
            </w:tcBorders>
          </w:tcPr>
          <w:p>
            <w:r>
              <w:rPr>
                <w:rFonts w:hint="eastAsia"/>
              </w:rPr>
              <w:t>未制定各工种安全技术操作规程的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vAlign w:val="center"/>
          </w:tcPr>
          <w:p>
            <w:r>
              <w:t>3.1.8</w:t>
            </w:r>
          </w:p>
        </w:tc>
        <w:tc>
          <w:tcPr>
            <w:tcW w:w="6660" w:type="dxa"/>
            <w:tcBorders>
              <w:top w:val="single" w:color="auto" w:sz="2" w:space="0"/>
              <w:bottom w:val="single" w:color="auto" w:sz="2" w:space="0"/>
            </w:tcBorders>
          </w:tcPr>
          <w:p>
            <w:r>
              <w:rPr>
                <w:rFonts w:hint="eastAsia"/>
              </w:rPr>
              <w:t>专（兼）职安全员不按规定如数到位的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3.1.9</w:t>
            </w:r>
          </w:p>
        </w:tc>
        <w:tc>
          <w:tcPr>
            <w:tcW w:w="6660" w:type="dxa"/>
            <w:tcBorders>
              <w:bottom w:val="single" w:color="auto" w:sz="2" w:space="0"/>
            </w:tcBorders>
          </w:tcPr>
          <w:p>
            <w:r>
              <w:rPr>
                <w:rFonts w:hint="eastAsia"/>
              </w:rPr>
              <w:t>单位内部安全网络未建立或不健全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3.1.10</w:t>
            </w:r>
          </w:p>
        </w:tc>
        <w:tc>
          <w:tcPr>
            <w:tcW w:w="6660" w:type="dxa"/>
            <w:tcBorders>
              <w:bottom w:val="single" w:color="auto" w:sz="2" w:space="0"/>
            </w:tcBorders>
          </w:tcPr>
          <w:p>
            <w:r>
              <w:rPr>
                <w:rFonts w:hint="eastAsia"/>
              </w:rPr>
              <w:t>拒绝或拖延加入基建安全网络</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3.1.11</w:t>
            </w:r>
          </w:p>
        </w:tc>
        <w:tc>
          <w:tcPr>
            <w:tcW w:w="6660" w:type="dxa"/>
            <w:tcBorders>
              <w:bottom w:val="single" w:color="auto" w:sz="2" w:space="0"/>
            </w:tcBorders>
          </w:tcPr>
          <w:p>
            <w:r>
              <w:rPr>
                <w:rFonts w:hint="eastAsia"/>
              </w:rPr>
              <w:t>无故不参加信导部组织的各种安全会议、网络活动</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3.1.12</w:t>
            </w:r>
          </w:p>
        </w:tc>
        <w:tc>
          <w:tcPr>
            <w:tcW w:w="6660" w:type="dxa"/>
            <w:tcBorders>
              <w:bottom w:val="single" w:color="auto" w:sz="2" w:space="0"/>
            </w:tcBorders>
          </w:tcPr>
          <w:p>
            <w:r>
              <w:rPr>
                <w:rFonts w:hint="eastAsia"/>
              </w:rPr>
              <w:t>不按规定开展各级、各类安全教育培训，未按规定设置民工学校</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3.1.13</w:t>
            </w:r>
          </w:p>
        </w:tc>
        <w:tc>
          <w:tcPr>
            <w:tcW w:w="6660" w:type="dxa"/>
            <w:tcBorders>
              <w:bottom w:val="single" w:color="auto" w:sz="2" w:space="0"/>
            </w:tcBorders>
          </w:tcPr>
          <w:p>
            <w:r>
              <w:rPr>
                <w:rFonts w:hint="eastAsia"/>
              </w:rPr>
              <w:t>对施工人员无安全教育或安全教育无针对性</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3.1.14</w:t>
            </w:r>
          </w:p>
        </w:tc>
        <w:tc>
          <w:tcPr>
            <w:tcW w:w="6660" w:type="dxa"/>
            <w:tcBorders>
              <w:bottom w:val="single" w:color="auto" w:sz="2" w:space="0"/>
            </w:tcBorders>
          </w:tcPr>
          <w:p>
            <w:r>
              <w:rPr>
                <w:rFonts w:hint="eastAsia"/>
              </w:rPr>
              <w:t>无日常安全检查、定期安全检查、专项安全检查记录或记录不全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vAlign w:val="center"/>
          </w:tcPr>
          <w:p>
            <w:r>
              <w:t>3.1.15</w:t>
            </w:r>
          </w:p>
        </w:tc>
        <w:tc>
          <w:tcPr>
            <w:tcW w:w="6660" w:type="dxa"/>
            <w:tcBorders>
              <w:bottom w:val="single" w:color="auto" w:sz="2" w:space="0"/>
            </w:tcBorders>
          </w:tcPr>
          <w:p>
            <w:r>
              <w:rPr>
                <w:rFonts w:hint="eastAsia"/>
              </w:rPr>
              <w:t>无安全管理台账或安全管理台账缺失不全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3.1.16</w:t>
            </w:r>
          </w:p>
        </w:tc>
        <w:tc>
          <w:tcPr>
            <w:tcW w:w="6660" w:type="dxa"/>
            <w:tcBorders>
              <w:bottom w:val="single" w:color="auto" w:sz="2" w:space="0"/>
            </w:tcBorders>
          </w:tcPr>
          <w:p>
            <w:r>
              <w:rPr>
                <w:rFonts w:hint="eastAsia"/>
              </w:rPr>
              <w:t>对查出的隐患整改做不到定人、定时间、定措施进行整改落实的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vAlign w:val="center"/>
          </w:tcPr>
          <w:p>
            <w:r>
              <w:t>3.1.17</w:t>
            </w:r>
          </w:p>
        </w:tc>
        <w:tc>
          <w:tcPr>
            <w:tcW w:w="6660" w:type="dxa"/>
            <w:tcBorders>
              <w:top w:val="single" w:color="auto" w:sz="2" w:space="0"/>
            </w:tcBorders>
          </w:tcPr>
          <w:p>
            <w:r>
              <w:rPr>
                <w:rFonts w:hint="eastAsia"/>
              </w:rPr>
              <w:t>对隐患整改通知书所列项目未如期整改完成的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3.2</w:t>
            </w:r>
          </w:p>
        </w:tc>
        <w:tc>
          <w:tcPr>
            <w:tcW w:w="6660" w:type="dxa"/>
          </w:tcPr>
          <w:p>
            <w:r>
              <w:rPr>
                <w:rFonts w:hint="eastAsia"/>
              </w:rPr>
              <w:t>施工组织</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3.2.1</w:t>
            </w:r>
          </w:p>
        </w:tc>
        <w:tc>
          <w:tcPr>
            <w:tcW w:w="6660" w:type="dxa"/>
            <w:tcBorders>
              <w:bottom w:val="single" w:color="auto" w:sz="2" w:space="0"/>
            </w:tcBorders>
          </w:tcPr>
          <w:p>
            <w:r>
              <w:rPr>
                <w:rFonts w:hint="eastAsia"/>
              </w:rPr>
              <w:t>无施工组织设计或施工组织设计未经审批的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3.2.2</w:t>
            </w:r>
          </w:p>
        </w:tc>
        <w:tc>
          <w:tcPr>
            <w:tcW w:w="6660" w:type="dxa"/>
            <w:tcBorders>
              <w:top w:val="single" w:color="auto" w:sz="2" w:space="0"/>
              <w:bottom w:val="single" w:color="auto" w:sz="2" w:space="0"/>
            </w:tcBorders>
          </w:tcPr>
          <w:p>
            <w:r>
              <w:rPr>
                <w:rFonts w:hint="eastAsia"/>
              </w:rPr>
              <w:t>施工组织设计中无安全措施或安全措施不全面、无针对性</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3.2.3</w:t>
            </w:r>
          </w:p>
        </w:tc>
        <w:tc>
          <w:tcPr>
            <w:tcW w:w="6660" w:type="dxa"/>
            <w:tcBorders>
              <w:top w:val="single" w:color="auto" w:sz="2" w:space="0"/>
              <w:bottom w:val="single" w:color="auto" w:sz="2" w:space="0"/>
            </w:tcBorders>
          </w:tcPr>
          <w:p>
            <w:r>
              <w:rPr>
                <w:rFonts w:hint="eastAsia"/>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3.2.4</w:t>
            </w:r>
          </w:p>
        </w:tc>
        <w:tc>
          <w:tcPr>
            <w:tcW w:w="6660" w:type="dxa"/>
            <w:tcBorders>
              <w:top w:val="single" w:color="auto" w:sz="2" w:space="0"/>
              <w:bottom w:val="single" w:color="auto" w:sz="2" w:space="0"/>
            </w:tcBorders>
          </w:tcPr>
          <w:p>
            <w:r>
              <w:rPr>
                <w:rFonts w:hint="eastAsia"/>
              </w:rPr>
              <w:t>施工组织设计安全措施未落实或落实有漏项的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vAlign w:val="center"/>
          </w:tcPr>
          <w:p>
            <w:r>
              <w:t>3.2.5</w:t>
            </w:r>
          </w:p>
        </w:tc>
        <w:tc>
          <w:tcPr>
            <w:tcW w:w="6660" w:type="dxa"/>
            <w:tcBorders>
              <w:top w:val="single" w:color="auto" w:sz="2" w:space="0"/>
            </w:tcBorders>
          </w:tcPr>
          <w:p>
            <w:r>
              <w:rPr>
                <w:rFonts w:hint="eastAsia"/>
              </w:rPr>
              <w:t>不按规定进行安全技术交底，或交底不全、交底针对性不强</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w:t>
            </w:r>
          </w:p>
        </w:tc>
        <w:tc>
          <w:tcPr>
            <w:tcW w:w="6660" w:type="dxa"/>
          </w:tcPr>
          <w:p>
            <w:r>
              <w:rPr>
                <w:rFonts w:hint="eastAsia"/>
              </w:rPr>
              <w:t>现场安全设施和措施</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w:t>
            </w:r>
          </w:p>
        </w:tc>
        <w:tc>
          <w:tcPr>
            <w:tcW w:w="6660" w:type="dxa"/>
          </w:tcPr>
          <w:p>
            <w:r>
              <w:rPr>
                <w:rFonts w:hint="eastAsia"/>
              </w:rPr>
              <w:t>使用国家明令淘汰、禁止使用的危及施工安全的工艺、设备、材料的。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vAlign w:val="center"/>
          </w:tcPr>
          <w:p>
            <w:r>
              <w:t>3.3.2</w:t>
            </w:r>
          </w:p>
        </w:tc>
        <w:tc>
          <w:tcPr>
            <w:tcW w:w="6660" w:type="dxa"/>
            <w:tcBorders>
              <w:bottom w:val="single" w:color="auto" w:sz="2" w:space="0"/>
            </w:tcBorders>
          </w:tcPr>
          <w:p>
            <w:r>
              <w:rPr>
                <w:rFonts w:hint="eastAsia"/>
              </w:rPr>
              <w:t>地面开挖作业未对毗邻建筑物、构筑物和地下管线等采取专项防护措施的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vAlign w:val="center"/>
          </w:tcPr>
          <w:p>
            <w:r>
              <w:t>3.3.3</w:t>
            </w:r>
          </w:p>
        </w:tc>
        <w:tc>
          <w:tcPr>
            <w:tcW w:w="6660" w:type="dxa"/>
            <w:tcBorders>
              <w:top w:val="single" w:color="auto" w:sz="2" w:space="0"/>
              <w:bottom w:val="single" w:color="auto" w:sz="2" w:space="0"/>
            </w:tcBorders>
          </w:tcPr>
          <w:p>
            <w:r>
              <w:rPr>
                <w:rFonts w:hint="eastAsia"/>
              </w:rPr>
              <w:t>基坑支护无方案或不按方案实施的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3.3.4</w:t>
            </w:r>
          </w:p>
        </w:tc>
        <w:tc>
          <w:tcPr>
            <w:tcW w:w="6660" w:type="dxa"/>
            <w:tcBorders>
              <w:top w:val="single" w:color="auto" w:sz="2" w:space="0"/>
            </w:tcBorders>
          </w:tcPr>
          <w:p>
            <w:r>
              <w:rPr>
                <w:rFonts w:hint="eastAsia"/>
              </w:rPr>
              <w:t>未按规定进行基坑支护变形监测和对毗邻建筑物、重要管线、道路进行沉降观测的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vAlign w:val="center"/>
          </w:tcPr>
          <w:p>
            <w:r>
              <w:t>3.3.5</w:t>
            </w:r>
          </w:p>
        </w:tc>
        <w:tc>
          <w:tcPr>
            <w:tcW w:w="6660" w:type="dxa"/>
            <w:tcBorders>
              <w:bottom w:val="single" w:color="auto" w:sz="2" w:space="0"/>
            </w:tcBorders>
          </w:tcPr>
          <w:p>
            <w:r>
              <w:rPr>
                <w:rFonts w:hint="eastAsia"/>
              </w:rPr>
              <w:t>支护设施产生局部变形未采取措施调整的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vAlign w:val="center"/>
          </w:tcPr>
          <w:p>
            <w:r>
              <w:t>3.3.6</w:t>
            </w:r>
          </w:p>
        </w:tc>
        <w:tc>
          <w:tcPr>
            <w:tcW w:w="6660" w:type="dxa"/>
            <w:tcBorders>
              <w:top w:val="single" w:color="auto" w:sz="2" w:space="0"/>
            </w:tcBorders>
          </w:tcPr>
          <w:p>
            <w:r>
              <w:rPr>
                <w:rFonts w:hint="eastAsia"/>
              </w:rPr>
              <w:t>基坑施工未设置有效排水措施，或深基础施工采用坑外降水，无防止临近建筑危险沉降措施的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3.3.7</w:t>
            </w:r>
          </w:p>
        </w:tc>
        <w:tc>
          <w:tcPr>
            <w:tcW w:w="6660" w:type="dxa"/>
            <w:tcBorders>
              <w:top w:val="single" w:color="auto" w:sz="2" w:space="0"/>
            </w:tcBorders>
          </w:tcPr>
          <w:p>
            <w:r>
              <w:rPr>
                <w:rFonts w:hint="eastAsia"/>
              </w:rPr>
              <w:t>积土、料具堆放、机械设备施工距槽边距离小于设计规定，又无措施的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3.3.8</w:t>
            </w:r>
          </w:p>
        </w:tc>
        <w:tc>
          <w:tcPr>
            <w:tcW w:w="6660" w:type="dxa"/>
          </w:tcPr>
          <w:p>
            <w:r>
              <w:rPr>
                <w:rFonts w:hint="eastAsia"/>
              </w:rPr>
              <w:t>基坑内作业人员无必要安全防护措施和充足照明的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vAlign w:val="center"/>
          </w:tcPr>
          <w:p>
            <w:r>
              <w:t>3.3.9</w:t>
            </w:r>
          </w:p>
        </w:tc>
        <w:tc>
          <w:tcPr>
            <w:tcW w:w="6660" w:type="dxa"/>
            <w:tcBorders>
              <w:bottom w:val="single" w:color="auto" w:sz="2" w:space="0"/>
            </w:tcBorders>
          </w:tcPr>
          <w:p>
            <w:r>
              <w:rPr>
                <w:rFonts w:hint="eastAsia"/>
              </w:rPr>
              <w:t>支模架施工未按施工专项方案实施的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vAlign w:val="center"/>
          </w:tcPr>
          <w:p>
            <w:r>
              <w:t>3.3.10</w:t>
            </w:r>
          </w:p>
        </w:tc>
        <w:tc>
          <w:tcPr>
            <w:tcW w:w="6660" w:type="dxa"/>
            <w:tcBorders>
              <w:top w:val="single" w:color="auto" w:sz="2" w:space="0"/>
            </w:tcBorders>
          </w:tcPr>
          <w:p>
            <w:r>
              <w:rPr>
                <w:rFonts w:hint="eastAsia"/>
              </w:rPr>
              <w:t>临边无防护措施，防护设施不规范或有空档、超过间隙的</w:t>
            </w:r>
          </w:p>
        </w:tc>
        <w:tc>
          <w:tcPr>
            <w:tcW w:w="720" w:type="dxa"/>
            <w:tcBorders>
              <w:top w:val="single" w:color="auto" w:sz="2" w:space="0"/>
            </w:tcBorders>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3.3.11</w:t>
            </w:r>
          </w:p>
        </w:tc>
        <w:tc>
          <w:tcPr>
            <w:tcW w:w="6660" w:type="dxa"/>
            <w:tcBorders>
              <w:bottom w:val="single" w:color="auto" w:sz="2" w:space="0"/>
            </w:tcBorders>
          </w:tcPr>
          <w:p>
            <w:r>
              <w:rPr>
                <w:rFonts w:hint="eastAsia"/>
              </w:rPr>
              <w:t>高处作业不按规定设置防坠网或防坠网规格、材质、覆盖面积不符合要求的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3.3.12</w:t>
            </w:r>
          </w:p>
        </w:tc>
        <w:tc>
          <w:tcPr>
            <w:tcW w:w="6660" w:type="dxa"/>
            <w:tcBorders>
              <w:bottom w:val="single" w:color="auto" w:sz="2" w:space="0"/>
            </w:tcBorders>
          </w:tcPr>
          <w:p>
            <w:r>
              <w:rPr>
                <w:rFonts w:hint="eastAsia"/>
              </w:rPr>
              <w:t>各种洞（井）口、梯口、通道口无防护措施，防护措施不符合要求或不严密，未形成定型化、工具化的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3.3.13</w:t>
            </w:r>
          </w:p>
        </w:tc>
        <w:tc>
          <w:tcPr>
            <w:tcW w:w="6660" w:type="dxa"/>
            <w:tcBorders>
              <w:bottom w:val="single" w:color="auto" w:sz="2" w:space="0"/>
            </w:tcBorders>
          </w:tcPr>
          <w:p>
            <w:r>
              <w:rPr>
                <w:rFonts w:hint="eastAsia"/>
              </w:rPr>
              <w:t>电梯井不封闭，电梯井内每隔两层</w:t>
            </w:r>
            <w:r>
              <w:t>(</w:t>
            </w:r>
            <w:r>
              <w:rPr>
                <w:rFonts w:hint="eastAsia"/>
              </w:rPr>
              <w:t>不大于</w:t>
            </w:r>
            <w:r>
              <w:t>l0m)</w:t>
            </w:r>
            <w:r>
              <w:rPr>
                <w:rFonts w:hint="eastAsia"/>
              </w:rPr>
              <w:t>少一道平网的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vAlign w:val="center"/>
          </w:tcPr>
          <w:p>
            <w:r>
              <w:t>3.3.14</w:t>
            </w:r>
          </w:p>
        </w:tc>
        <w:tc>
          <w:tcPr>
            <w:tcW w:w="6660" w:type="dxa"/>
            <w:tcBorders>
              <w:bottom w:val="single" w:color="auto" w:sz="2" w:space="0"/>
            </w:tcBorders>
          </w:tcPr>
          <w:p>
            <w:r>
              <w:rPr>
                <w:rFonts w:hint="eastAsia"/>
              </w:rPr>
              <w:t>通道口无防护棚，通道口防护不严或防护棚不牢固、材质不符合要求的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3.3.15</w:t>
            </w:r>
          </w:p>
        </w:tc>
        <w:tc>
          <w:tcPr>
            <w:tcW w:w="6660" w:type="dxa"/>
            <w:tcBorders>
              <w:top w:val="single" w:color="auto" w:sz="2" w:space="0"/>
            </w:tcBorders>
          </w:tcPr>
          <w:p>
            <w:r>
              <w:rPr>
                <w:rFonts w:hint="eastAsia"/>
              </w:rPr>
              <w:t>脚手架、升降、吊装等设施设备的拆装队伍没有取得资格证书的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vAlign w:val="center"/>
          </w:tcPr>
          <w:p>
            <w:r>
              <w:t>3.3.16</w:t>
            </w:r>
          </w:p>
        </w:tc>
        <w:tc>
          <w:tcPr>
            <w:tcW w:w="6660" w:type="dxa"/>
            <w:tcBorders>
              <w:top w:val="single" w:color="auto" w:sz="2" w:space="0"/>
            </w:tcBorders>
          </w:tcPr>
          <w:p>
            <w:r>
              <w:rPr>
                <w:rFonts w:hint="eastAsia"/>
              </w:rPr>
              <w:t>脚手架、脚手板等不按要求搭设，空隙过大或材质不符合要求的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3.3.17</w:t>
            </w:r>
          </w:p>
        </w:tc>
        <w:tc>
          <w:tcPr>
            <w:tcW w:w="6660" w:type="dxa"/>
          </w:tcPr>
          <w:p>
            <w:r>
              <w:rPr>
                <w:rFonts w:hint="eastAsia"/>
              </w:rPr>
              <w:t>安全密目网不牢固、不严密或材质、设置不符合要求的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3.3.18</w:t>
            </w:r>
          </w:p>
        </w:tc>
        <w:tc>
          <w:tcPr>
            <w:tcW w:w="6660" w:type="dxa"/>
          </w:tcPr>
          <w:p>
            <w:r>
              <w:rPr>
                <w:rFonts w:hint="eastAsia"/>
              </w:rPr>
              <w:t>脚手架超载或荷载不均匀、堆放杂物或垃圾清理不及时的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3.3.19</w:t>
            </w:r>
          </w:p>
        </w:tc>
        <w:tc>
          <w:tcPr>
            <w:tcW w:w="6660" w:type="dxa"/>
            <w:tcBorders>
              <w:top w:val="single" w:color="auto" w:sz="2" w:space="0"/>
              <w:bottom w:val="single" w:color="auto" w:sz="2" w:space="0"/>
            </w:tcBorders>
          </w:tcPr>
          <w:p>
            <w:r>
              <w:rPr>
                <w:rFonts w:hint="eastAsia"/>
              </w:rPr>
              <w:t>未设专用通道或通道设置不符合要求的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3.3.20</w:t>
            </w:r>
          </w:p>
        </w:tc>
        <w:tc>
          <w:tcPr>
            <w:tcW w:w="6660" w:type="dxa"/>
          </w:tcPr>
          <w:p>
            <w:r>
              <w:rPr>
                <w:rFonts w:hint="eastAsia"/>
              </w:rPr>
              <w:t>脚手架拆卸时不实行区域隔离，无专人看护等保护性安全措施的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vAlign w:val="center"/>
          </w:tcPr>
          <w:p>
            <w:r>
              <w:t>3.3.21</w:t>
            </w:r>
          </w:p>
        </w:tc>
        <w:tc>
          <w:tcPr>
            <w:tcW w:w="6660" w:type="dxa"/>
            <w:tcBorders>
              <w:top w:val="single" w:color="auto" w:sz="2" w:space="0"/>
              <w:bottom w:val="single" w:color="auto" w:sz="2" w:space="0"/>
            </w:tcBorders>
          </w:tcPr>
          <w:p>
            <w:r>
              <w:rPr>
                <w:rFonts w:hint="eastAsia"/>
              </w:rPr>
              <w:t>移动脚手架安全措施不到位，存在安全隐患的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3.3.22</w:t>
            </w:r>
          </w:p>
        </w:tc>
        <w:tc>
          <w:tcPr>
            <w:tcW w:w="6660" w:type="dxa"/>
            <w:tcBorders>
              <w:top w:val="single" w:color="auto" w:sz="2" w:space="0"/>
            </w:tcBorders>
          </w:tcPr>
          <w:p>
            <w:r>
              <w:rPr>
                <w:rFonts w:hint="eastAsia"/>
              </w:rPr>
              <w:t>卸料台搭设不符合设计要求或不按规范要求搭建的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3.3.23</w:t>
            </w:r>
          </w:p>
        </w:tc>
        <w:tc>
          <w:tcPr>
            <w:tcW w:w="6660" w:type="dxa"/>
          </w:tcPr>
          <w:p>
            <w:r>
              <w:rPr>
                <w:rFonts w:hint="eastAsia"/>
              </w:rPr>
              <w:t>升降、吊装作业未设警戒区、无专业人员指挥、无专人警戒或管理的</w:t>
            </w:r>
          </w:p>
        </w:tc>
        <w:tc>
          <w:tcPr>
            <w:tcW w:w="720" w:type="dxa"/>
            <w:vAlign w:val="center"/>
          </w:tcPr>
          <w:p>
            <w:r>
              <w:rPr>
                <w:rFonts w:hint="eastAsia"/>
              </w:rPr>
              <w:t>建标</w:t>
            </w:r>
          </w:p>
        </w:tc>
        <w:tc>
          <w:tcPr>
            <w:tcW w:w="1440" w:type="dxa"/>
            <w:tcBorders>
              <w:top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3.3.24</w:t>
            </w:r>
          </w:p>
        </w:tc>
        <w:tc>
          <w:tcPr>
            <w:tcW w:w="6660" w:type="dxa"/>
          </w:tcPr>
          <w:p>
            <w:r>
              <w:rPr>
                <w:rFonts w:hint="eastAsia"/>
              </w:rPr>
              <w:t>升降、吊装设备无围栏、防护门，无安全警示等安全设施的</w:t>
            </w:r>
          </w:p>
        </w:tc>
        <w:tc>
          <w:tcPr>
            <w:tcW w:w="720" w:type="dxa"/>
            <w:vAlign w:val="center"/>
          </w:tcPr>
          <w:p>
            <w:r>
              <w:rPr>
                <w:rFonts w:hint="eastAsia"/>
              </w:rPr>
              <w:t>建标</w:t>
            </w:r>
          </w:p>
        </w:tc>
        <w:tc>
          <w:tcPr>
            <w:tcW w:w="1440" w:type="dxa"/>
            <w:tcBorders>
              <w:top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3.3.25</w:t>
            </w:r>
          </w:p>
        </w:tc>
        <w:tc>
          <w:tcPr>
            <w:tcW w:w="6660" w:type="dxa"/>
          </w:tcPr>
          <w:p>
            <w:r>
              <w:rPr>
                <w:rFonts w:hint="eastAsia"/>
              </w:rPr>
              <w:t>升降、吊装设备无防坠装置或防坠装置不符合设计、规范要求的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3.3.26</w:t>
            </w:r>
          </w:p>
        </w:tc>
        <w:tc>
          <w:tcPr>
            <w:tcW w:w="6660" w:type="dxa"/>
          </w:tcPr>
          <w:p>
            <w:r>
              <w:rPr>
                <w:rFonts w:hint="eastAsia"/>
              </w:rPr>
              <w:t>升降、吊装设备钢丝绳绳径倍数不足、磨损、断丝超标，地锚埋没不符合设计要求</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3.3.27</w:t>
            </w:r>
          </w:p>
        </w:tc>
        <w:tc>
          <w:tcPr>
            <w:tcW w:w="6660" w:type="dxa"/>
          </w:tcPr>
          <w:p>
            <w:r>
              <w:rPr>
                <w:rFonts w:hint="eastAsia"/>
              </w:rPr>
              <w:t>升降、吊装设备无专人日常维护，未按规定定期检验、检查或检查无记录，检验检查出的问题不及时整改的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3.3.28</w:t>
            </w:r>
          </w:p>
        </w:tc>
        <w:tc>
          <w:tcPr>
            <w:tcW w:w="6660" w:type="dxa"/>
          </w:tcPr>
          <w:p>
            <w:r>
              <w:rPr>
                <w:rFonts w:hint="eastAsia"/>
              </w:rPr>
              <w:t>违章操作或违章使用升降、吊装设备，超重作业的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3.3.29</w:t>
            </w:r>
          </w:p>
        </w:tc>
        <w:tc>
          <w:tcPr>
            <w:tcW w:w="6660" w:type="dxa"/>
          </w:tcPr>
          <w:p>
            <w:r>
              <w:rPr>
                <w:rFonts w:hint="eastAsia"/>
              </w:rPr>
              <w:t>移动式吊装装置不符合设计、方案和规范要求，存在安全隐患的</w:t>
            </w:r>
          </w:p>
        </w:tc>
        <w:tc>
          <w:tcPr>
            <w:tcW w:w="720" w:type="dxa"/>
            <w:vAlign w:val="center"/>
          </w:tcPr>
          <w:p>
            <w:r>
              <w:rPr>
                <w:rFonts w:hint="eastAsia"/>
              </w:rPr>
              <w:t>建标</w:t>
            </w:r>
          </w:p>
        </w:tc>
        <w:tc>
          <w:tcPr>
            <w:tcW w:w="1440" w:type="dxa"/>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3.3.30</w:t>
            </w:r>
          </w:p>
        </w:tc>
        <w:tc>
          <w:tcPr>
            <w:tcW w:w="6660" w:type="dxa"/>
          </w:tcPr>
          <w:p>
            <w:r>
              <w:rPr>
                <w:rFonts w:hint="eastAsia"/>
              </w:rPr>
              <w:t>钢丝绳、绳卡、地锚等不符合规范和安全要求</w:t>
            </w:r>
            <w:r>
              <w:t>,</w:t>
            </w:r>
            <w:r>
              <w:rPr>
                <w:rFonts w:hint="eastAsia"/>
              </w:rPr>
              <w:t>或钢丝绳锈蚀、缺油、磨损超标的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3.3.31</w:t>
            </w:r>
          </w:p>
        </w:tc>
        <w:tc>
          <w:tcPr>
            <w:tcW w:w="6660" w:type="dxa"/>
            <w:tcBorders>
              <w:top w:val="single" w:color="auto" w:sz="2" w:space="0"/>
              <w:bottom w:val="single" w:color="auto" w:sz="2" w:space="0"/>
            </w:tcBorders>
          </w:tcPr>
          <w:p>
            <w:r>
              <w:rPr>
                <w:rFonts w:hint="eastAsia"/>
              </w:rPr>
              <w:t>无防风、避雷装置和措施，或防风避雷装置措施不符合要求的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3.3.32</w:t>
            </w:r>
          </w:p>
        </w:tc>
        <w:tc>
          <w:tcPr>
            <w:tcW w:w="6660" w:type="dxa"/>
          </w:tcPr>
          <w:p>
            <w:r>
              <w:rPr>
                <w:rFonts w:hint="eastAsia"/>
              </w:rPr>
              <w:t>各类用电设施、设备、施工机具未做保护接零、无漏电保护装置的</w:t>
            </w:r>
          </w:p>
        </w:tc>
        <w:tc>
          <w:tcPr>
            <w:tcW w:w="720" w:type="dxa"/>
            <w:vAlign w:val="center"/>
          </w:tcPr>
          <w:p>
            <w:r>
              <w:rPr>
                <w:rFonts w:hint="eastAsia"/>
              </w:rPr>
              <w:t>建标</w:t>
            </w:r>
          </w:p>
        </w:tc>
        <w:tc>
          <w:tcPr>
            <w:tcW w:w="1440" w:type="dxa"/>
            <w:tcBorders>
              <w:top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vAlign w:val="center"/>
          </w:tcPr>
          <w:p>
            <w:r>
              <w:t>3.3.33</w:t>
            </w:r>
          </w:p>
        </w:tc>
        <w:tc>
          <w:tcPr>
            <w:tcW w:w="6660" w:type="dxa"/>
            <w:tcBorders>
              <w:top w:val="single" w:color="auto" w:sz="2" w:space="0"/>
              <w:bottom w:val="single" w:color="auto" w:sz="2" w:space="0"/>
            </w:tcBorders>
          </w:tcPr>
          <w:p>
            <w:r>
              <w:rPr>
                <w:rFonts w:hint="eastAsia"/>
              </w:rPr>
              <w:t>机具、设备使用无安全防护装置或保险装置的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3.3.34</w:t>
            </w:r>
          </w:p>
        </w:tc>
        <w:tc>
          <w:tcPr>
            <w:tcW w:w="6660" w:type="dxa"/>
          </w:tcPr>
          <w:p>
            <w:r>
              <w:rPr>
                <w:rFonts w:hint="eastAsia"/>
              </w:rPr>
              <w:t>使用Ⅰ类手持电动工具不按规定穿戴绝缘用品的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3.3.35</w:t>
            </w:r>
          </w:p>
        </w:tc>
        <w:tc>
          <w:tcPr>
            <w:tcW w:w="6660" w:type="dxa"/>
          </w:tcPr>
          <w:p>
            <w:r>
              <w:rPr>
                <w:rFonts w:hint="eastAsia"/>
              </w:rPr>
              <w:t>施工机具无人操作时未切断电源的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3.3.36</w:t>
            </w:r>
          </w:p>
        </w:tc>
        <w:tc>
          <w:tcPr>
            <w:tcW w:w="6660" w:type="dxa"/>
          </w:tcPr>
          <w:p>
            <w:r>
              <w:rPr>
                <w:rFonts w:hint="eastAsia"/>
              </w:rPr>
              <w:t>电焊机无防雨罩的，焊把线接头超过</w:t>
            </w:r>
            <w:r>
              <w:t>3</w:t>
            </w:r>
            <w:r>
              <w:rPr>
                <w:rFonts w:hint="eastAsia"/>
              </w:rPr>
              <w:t>处或绝缘老化的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3.3.37</w:t>
            </w:r>
          </w:p>
        </w:tc>
        <w:tc>
          <w:tcPr>
            <w:tcW w:w="6660" w:type="dxa"/>
          </w:tcPr>
          <w:p>
            <w:r>
              <w:rPr>
                <w:rFonts w:hint="eastAsia"/>
              </w:rPr>
              <w:t>各机械作业场所无防雨棚和作业台不安全的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w:t>
            </w:r>
          </w:p>
        </w:tc>
        <w:tc>
          <w:tcPr>
            <w:tcW w:w="6660" w:type="dxa"/>
          </w:tcPr>
          <w:p>
            <w:r>
              <w:rPr>
                <w:rFonts w:hint="eastAsia"/>
              </w:rPr>
              <w:t>现场安全管理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3.4.1</w:t>
            </w:r>
          </w:p>
        </w:tc>
        <w:tc>
          <w:tcPr>
            <w:tcW w:w="6660" w:type="dxa"/>
          </w:tcPr>
          <w:p>
            <w:r>
              <w:rPr>
                <w:rFonts w:hint="eastAsia"/>
              </w:rPr>
              <w:t>各类操作人员无证上岗的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3.4.2</w:t>
            </w:r>
          </w:p>
        </w:tc>
        <w:tc>
          <w:tcPr>
            <w:tcW w:w="6660" w:type="dxa"/>
          </w:tcPr>
          <w:p>
            <w:r>
              <w:rPr>
                <w:rFonts w:hint="eastAsia"/>
              </w:rPr>
              <w:t>专业性较强、危险性较大施工作业，现场无专业人员、安全管理人员旁站看护的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3.4.3</w:t>
            </w:r>
          </w:p>
        </w:tc>
        <w:tc>
          <w:tcPr>
            <w:tcW w:w="6660" w:type="dxa"/>
          </w:tcPr>
          <w:p>
            <w:r>
              <w:rPr>
                <w:rFonts w:hint="eastAsia"/>
              </w:rPr>
              <w:t>作业人员不服管理、违反规章制度和操作规程冒险作业的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3.4.4</w:t>
            </w:r>
          </w:p>
        </w:tc>
        <w:tc>
          <w:tcPr>
            <w:tcW w:w="6660" w:type="dxa"/>
          </w:tcPr>
          <w:p>
            <w:r>
              <w:rPr>
                <w:rFonts w:hint="eastAsia"/>
              </w:rPr>
              <w:t>施工人员不戴安全帽、高处作业人员不系安全带或不按要求系安全带</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3.4.5</w:t>
            </w:r>
          </w:p>
        </w:tc>
        <w:tc>
          <w:tcPr>
            <w:tcW w:w="6660" w:type="dxa"/>
          </w:tcPr>
          <w:p>
            <w:r>
              <w:rPr>
                <w:rFonts w:hint="eastAsia"/>
              </w:rPr>
              <w:t>现场未按规定采取设置安全网等保障措施的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3.4.6</w:t>
            </w:r>
          </w:p>
        </w:tc>
        <w:tc>
          <w:tcPr>
            <w:tcW w:w="6660" w:type="dxa"/>
            <w:tcBorders>
              <w:top w:val="single" w:color="auto" w:sz="2" w:space="0"/>
            </w:tcBorders>
          </w:tcPr>
          <w:p>
            <w:r>
              <w:rPr>
                <w:rFonts w:hint="eastAsia"/>
              </w:rPr>
              <w:t>施工人员在施工现场抽烟的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3.5</w:t>
            </w:r>
          </w:p>
        </w:tc>
        <w:tc>
          <w:tcPr>
            <w:tcW w:w="6660" w:type="dxa"/>
          </w:tcPr>
          <w:p>
            <w:r>
              <w:rPr>
                <w:rFonts w:hint="eastAsia"/>
              </w:rPr>
              <w:t>施工用电</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vAlign w:val="center"/>
          </w:tcPr>
          <w:p>
            <w:r>
              <w:t>3.5.1</w:t>
            </w:r>
          </w:p>
        </w:tc>
        <w:tc>
          <w:tcPr>
            <w:tcW w:w="6660" w:type="dxa"/>
            <w:tcBorders>
              <w:bottom w:val="single" w:color="auto" w:sz="2" w:space="0"/>
            </w:tcBorders>
          </w:tcPr>
          <w:p>
            <w:r>
              <w:rPr>
                <w:rFonts w:hint="eastAsia"/>
              </w:rPr>
              <w:t>外电小于安全距离无防护措施、防护措施不符合要求的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vAlign w:val="center"/>
          </w:tcPr>
          <w:p>
            <w:r>
              <w:t>3.5.2</w:t>
            </w:r>
          </w:p>
        </w:tc>
        <w:tc>
          <w:tcPr>
            <w:tcW w:w="6660" w:type="dxa"/>
            <w:tcBorders>
              <w:top w:val="single" w:color="auto" w:sz="2" w:space="0"/>
            </w:tcBorders>
          </w:tcPr>
          <w:p>
            <w:r>
              <w:rPr>
                <w:rFonts w:hint="eastAsia"/>
              </w:rPr>
              <w:t>未采用</w:t>
            </w:r>
            <w:r>
              <w:t>TN—S</w:t>
            </w:r>
            <w:r>
              <w:rPr>
                <w:rFonts w:hint="eastAsia"/>
              </w:rPr>
              <w:t>接零保护系统的、三级漏电保护系统的；专用保护零线（</w:t>
            </w:r>
            <w:r>
              <w:t>PE</w:t>
            </w:r>
            <w:r>
              <w:rPr>
                <w:rFonts w:hint="eastAsia"/>
              </w:rPr>
              <w:t>线）设置不符合要求的、或保护零线（</w:t>
            </w:r>
            <w:r>
              <w:t>PE</w:t>
            </w:r>
            <w:r>
              <w:rPr>
                <w:rFonts w:hint="eastAsia"/>
              </w:rPr>
              <w:t>线）与工作零线（</w:t>
            </w:r>
            <w:r>
              <w:t>N</w:t>
            </w:r>
            <w:r>
              <w:rPr>
                <w:rFonts w:hint="eastAsia"/>
              </w:rPr>
              <w:t>线）混接的；纯动力电未用四芯电缆的，动力带照明电未使用五芯电缆的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3.5.3</w:t>
            </w:r>
          </w:p>
        </w:tc>
        <w:tc>
          <w:tcPr>
            <w:tcW w:w="6660" w:type="dxa"/>
            <w:tcBorders>
              <w:bottom w:val="single" w:color="auto" w:sz="2" w:space="0"/>
            </w:tcBorders>
          </w:tcPr>
          <w:p>
            <w:r>
              <w:rPr>
                <w:rFonts w:hint="eastAsia"/>
              </w:rPr>
              <w:t>开关箱</w:t>
            </w:r>
            <w:r>
              <w:t>(</w:t>
            </w:r>
            <w:r>
              <w:rPr>
                <w:rFonts w:hint="eastAsia"/>
              </w:rPr>
              <w:t>末级</w:t>
            </w:r>
            <w:r>
              <w:t>)</w:t>
            </w:r>
            <w:r>
              <w:rPr>
                <w:rFonts w:hint="eastAsia"/>
              </w:rPr>
              <w:t>无漏电保护或保护器失灵、漏电保护装置参数不匹配</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3.5.4</w:t>
            </w:r>
          </w:p>
        </w:tc>
        <w:tc>
          <w:tcPr>
            <w:tcW w:w="6660" w:type="dxa"/>
            <w:tcBorders>
              <w:top w:val="single" w:color="auto" w:sz="2" w:space="0"/>
              <w:bottom w:val="single" w:color="auto" w:sz="2" w:space="0"/>
            </w:tcBorders>
          </w:tcPr>
          <w:p>
            <w:r>
              <w:rPr>
                <w:rFonts w:hint="eastAsia"/>
              </w:rPr>
              <w:t>违反“</w:t>
            </w:r>
            <w:r>
              <w:t>—</w:t>
            </w:r>
            <w:r>
              <w:rPr>
                <w:rFonts w:hint="eastAsia"/>
              </w:rPr>
              <w:t>机、一闸、一漏、一箱”的配置原则</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3.5.5</w:t>
            </w:r>
          </w:p>
        </w:tc>
        <w:tc>
          <w:tcPr>
            <w:tcW w:w="6660" w:type="dxa"/>
            <w:tcBorders>
              <w:top w:val="single" w:color="auto" w:sz="2" w:space="0"/>
              <w:bottom w:val="single" w:color="auto" w:sz="2" w:space="0"/>
            </w:tcBorders>
          </w:tcPr>
          <w:p>
            <w:r>
              <w:rPr>
                <w:rFonts w:hint="eastAsia"/>
              </w:rPr>
              <w:t>安装位置不当、周围杂物多不便操作、存在安全隐患</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3.5.6</w:t>
            </w:r>
          </w:p>
        </w:tc>
        <w:tc>
          <w:tcPr>
            <w:tcW w:w="6660" w:type="dxa"/>
            <w:tcBorders>
              <w:top w:val="single" w:color="auto" w:sz="2" w:space="0"/>
              <w:bottom w:val="single" w:color="auto" w:sz="2" w:space="0"/>
            </w:tcBorders>
          </w:tcPr>
          <w:p>
            <w:r>
              <w:rPr>
                <w:rFonts w:hint="eastAsia"/>
              </w:rPr>
              <w:t>电箱下引出线混乱、配电箱内多路配电无标记的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3.5.7</w:t>
            </w:r>
          </w:p>
        </w:tc>
        <w:tc>
          <w:tcPr>
            <w:tcW w:w="6660" w:type="dxa"/>
            <w:tcBorders>
              <w:bottom w:val="single" w:color="auto" w:sz="2" w:space="0"/>
            </w:tcBorders>
          </w:tcPr>
          <w:p>
            <w:r>
              <w:rPr>
                <w:rFonts w:hint="eastAsia"/>
              </w:rPr>
              <w:t>电箱无门、无锁、无防雨措施或无责任人的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3.5.8</w:t>
            </w:r>
          </w:p>
        </w:tc>
        <w:tc>
          <w:tcPr>
            <w:tcW w:w="6660" w:type="dxa"/>
            <w:tcBorders>
              <w:top w:val="single" w:color="auto" w:sz="2" w:space="0"/>
              <w:bottom w:val="single" w:color="auto" w:sz="2" w:space="0"/>
            </w:tcBorders>
          </w:tcPr>
          <w:p>
            <w:r>
              <w:rPr>
                <w:rFonts w:hint="eastAsia"/>
              </w:rPr>
              <w:t>室内线路及灯具安全高度低于</w:t>
            </w:r>
            <w:r>
              <w:t>2.4m</w:t>
            </w:r>
            <w:r>
              <w:rPr>
                <w:rFonts w:hint="eastAsia"/>
              </w:rPr>
              <w:t>未使用安全电压供电的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vAlign w:val="center"/>
          </w:tcPr>
          <w:p>
            <w:r>
              <w:t>3.5.9</w:t>
            </w:r>
          </w:p>
        </w:tc>
        <w:tc>
          <w:tcPr>
            <w:tcW w:w="6660" w:type="dxa"/>
            <w:tcBorders>
              <w:top w:val="single" w:color="auto" w:sz="2" w:space="0"/>
              <w:bottom w:val="single" w:color="auto" w:sz="2" w:space="0"/>
            </w:tcBorders>
          </w:tcPr>
          <w:p>
            <w:r>
              <w:rPr>
                <w:rFonts w:hint="eastAsia"/>
              </w:rPr>
              <w:t>潮湿作业环境中未使用</w:t>
            </w:r>
            <w:r>
              <w:t>36v</w:t>
            </w:r>
            <w:r>
              <w:rPr>
                <w:rFonts w:hint="eastAsia"/>
              </w:rPr>
              <w:t>以下安全电压照明灯具的、手持照明灯未使用</w:t>
            </w:r>
            <w:r>
              <w:t>36v</w:t>
            </w:r>
            <w:r>
              <w:rPr>
                <w:rFonts w:hint="eastAsia"/>
              </w:rPr>
              <w:t>及以下电源供电</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vAlign w:val="center"/>
          </w:tcPr>
          <w:p>
            <w:r>
              <w:t>3.5.10</w:t>
            </w:r>
          </w:p>
        </w:tc>
        <w:tc>
          <w:tcPr>
            <w:tcW w:w="6660" w:type="dxa"/>
            <w:tcBorders>
              <w:top w:val="single" w:color="auto" w:sz="2" w:space="0"/>
              <w:bottom w:val="single" w:color="auto" w:sz="2" w:space="0"/>
            </w:tcBorders>
          </w:tcPr>
          <w:p>
            <w:r>
              <w:rPr>
                <w:rFonts w:hint="eastAsia"/>
              </w:rPr>
              <w:t>电线老化、破皮、未按规范包扎的、电线私拉乱接、无过路保护的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vAlign w:val="center"/>
          </w:tcPr>
          <w:p>
            <w:r>
              <w:t>3.5.11</w:t>
            </w:r>
          </w:p>
        </w:tc>
        <w:tc>
          <w:tcPr>
            <w:tcW w:w="6660" w:type="dxa"/>
            <w:tcBorders>
              <w:top w:val="single" w:color="auto" w:sz="2" w:space="0"/>
              <w:bottom w:val="single" w:color="auto" w:sz="2" w:space="0"/>
            </w:tcBorders>
          </w:tcPr>
          <w:p>
            <w:r>
              <w:rPr>
                <w:rFonts w:hint="eastAsia"/>
              </w:rPr>
              <w:t>电杆、横担、架空线路不符合施工规范要求</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vAlign w:val="center"/>
          </w:tcPr>
          <w:p>
            <w:r>
              <w:t>3.5.12</w:t>
            </w:r>
          </w:p>
        </w:tc>
        <w:tc>
          <w:tcPr>
            <w:tcW w:w="6660" w:type="dxa"/>
            <w:tcBorders>
              <w:top w:val="single" w:color="auto" w:sz="2" w:space="0"/>
              <w:bottom w:val="single" w:color="auto" w:sz="2" w:space="0"/>
            </w:tcBorders>
          </w:tcPr>
          <w:p>
            <w:r>
              <w:rPr>
                <w:rFonts w:hint="eastAsia"/>
              </w:rPr>
              <w:t>无用电管理档案、无接地极阻值摇测记录、电工巡视维修记录或填写不真实的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vAlign w:val="center"/>
          </w:tcPr>
          <w:p>
            <w:r>
              <w:t>4</w:t>
            </w:r>
          </w:p>
        </w:tc>
        <w:tc>
          <w:tcPr>
            <w:tcW w:w="6660" w:type="dxa"/>
            <w:tcBorders>
              <w:top w:val="single" w:color="auto" w:sz="2" w:space="0"/>
            </w:tcBorders>
          </w:tcPr>
          <w:p>
            <w:r>
              <w:rPr>
                <w:rFonts w:hint="eastAsia"/>
              </w:rPr>
              <w:t>消防安全与危险品管理</w:t>
            </w:r>
          </w:p>
        </w:tc>
        <w:tc>
          <w:tcPr>
            <w:tcW w:w="720" w:type="dxa"/>
            <w:tcBorders>
              <w:top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w:t>
            </w:r>
          </w:p>
        </w:tc>
        <w:tc>
          <w:tcPr>
            <w:tcW w:w="6660" w:type="dxa"/>
            <w:tcBorders>
              <w:top w:val="single" w:color="auto" w:sz="2" w:space="0"/>
            </w:tcBorders>
          </w:tcPr>
          <w:p>
            <w:r>
              <w:rPr>
                <w:rFonts w:hint="eastAsia"/>
              </w:rPr>
              <w:t>未制定消防安全管理规章制度或规章制度不健全的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w:t>
            </w:r>
          </w:p>
        </w:tc>
        <w:tc>
          <w:tcPr>
            <w:tcW w:w="6660" w:type="dxa"/>
            <w:tcBorders>
              <w:top w:val="single" w:color="auto" w:sz="2" w:space="0"/>
            </w:tcBorders>
          </w:tcPr>
          <w:p>
            <w:r>
              <w:rPr>
                <w:rFonts w:hint="eastAsia"/>
              </w:rPr>
              <w:t>未制定各工种用火、用电、使用易燃材料等各项消防安全操作规程的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4.3</w:t>
            </w:r>
          </w:p>
        </w:tc>
        <w:tc>
          <w:tcPr>
            <w:tcW w:w="6660" w:type="dxa"/>
            <w:tcBorders>
              <w:top w:val="single" w:color="auto" w:sz="2" w:space="0"/>
            </w:tcBorders>
          </w:tcPr>
          <w:p>
            <w:r>
              <w:rPr>
                <w:rFonts w:hint="eastAsia"/>
              </w:rPr>
              <w:t>未健全消防安全网络（配备专职或兼职消防员），并报备的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4.4</w:t>
            </w:r>
          </w:p>
        </w:tc>
        <w:tc>
          <w:tcPr>
            <w:tcW w:w="6660" w:type="dxa"/>
            <w:tcBorders>
              <w:top w:val="single" w:color="auto" w:sz="2" w:space="0"/>
            </w:tcBorders>
          </w:tcPr>
          <w:p>
            <w:r>
              <w:rPr>
                <w:rFonts w:hint="eastAsia"/>
              </w:rPr>
              <w:t>无专（兼）职义务消防队，或消防队员未掌握基本消防知识和操作技能的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4.5</w:t>
            </w:r>
          </w:p>
        </w:tc>
        <w:tc>
          <w:tcPr>
            <w:tcW w:w="6660" w:type="dxa"/>
            <w:tcBorders>
              <w:top w:val="single" w:color="auto" w:sz="2" w:space="0"/>
            </w:tcBorders>
          </w:tcPr>
          <w:p>
            <w:r>
              <w:rPr>
                <w:rFonts w:hint="eastAsia"/>
              </w:rPr>
              <w:t>未制定灭火和应急疏散预案并开展消防应急演练的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4.6</w:t>
            </w:r>
          </w:p>
        </w:tc>
        <w:tc>
          <w:tcPr>
            <w:tcW w:w="6660" w:type="dxa"/>
            <w:tcBorders>
              <w:top w:val="single" w:color="auto" w:sz="2" w:space="0"/>
            </w:tcBorders>
          </w:tcPr>
          <w:p>
            <w:r>
              <w:rPr>
                <w:rFonts w:hint="eastAsia"/>
              </w:rPr>
              <w:t>未组织开展各类防火检查，并及时采取措施整改发现的隐患、问题的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4.7</w:t>
            </w:r>
          </w:p>
        </w:tc>
        <w:tc>
          <w:tcPr>
            <w:tcW w:w="6660" w:type="dxa"/>
            <w:tcBorders>
              <w:top w:val="single" w:color="auto" w:sz="2" w:space="0"/>
            </w:tcBorders>
          </w:tcPr>
          <w:p>
            <w:r>
              <w:rPr>
                <w:rFonts w:hint="eastAsia"/>
              </w:rPr>
              <w:t>对重大消防安全隐患未能及时整改、处理的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4.8</w:t>
            </w:r>
          </w:p>
        </w:tc>
        <w:tc>
          <w:tcPr>
            <w:tcW w:w="6660" w:type="dxa"/>
            <w:tcBorders>
              <w:top w:val="single" w:color="auto" w:sz="2" w:space="0"/>
            </w:tcBorders>
          </w:tcPr>
          <w:p>
            <w:r>
              <w:rPr>
                <w:rFonts w:hint="eastAsia"/>
              </w:rPr>
              <w:t>未建立消防安全管理台帐或台帐缺失的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4.9</w:t>
            </w:r>
          </w:p>
        </w:tc>
        <w:tc>
          <w:tcPr>
            <w:tcW w:w="6660" w:type="dxa"/>
            <w:tcBorders>
              <w:top w:val="single" w:color="auto" w:sz="2" w:space="0"/>
            </w:tcBorders>
          </w:tcPr>
          <w:p>
            <w:r>
              <w:rPr>
                <w:rFonts w:hint="eastAsia"/>
              </w:rPr>
              <w:t>未组织开展消防安全知识教育培训，施工人员不了解本岗位防火措施、遇险报警、初期扑救及自救逃生的知识和技能的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4.10</w:t>
            </w:r>
          </w:p>
        </w:tc>
        <w:tc>
          <w:tcPr>
            <w:tcW w:w="6660" w:type="dxa"/>
            <w:tcBorders>
              <w:top w:val="single" w:color="auto" w:sz="2" w:space="0"/>
            </w:tcBorders>
          </w:tcPr>
          <w:p>
            <w:r>
              <w:rPr>
                <w:rFonts w:hint="eastAsia"/>
              </w:rPr>
              <w:t>施工现场未设置必要足够安全疏散指示标志、防火禁烟标志机场火警电话的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4.11</w:t>
            </w:r>
          </w:p>
        </w:tc>
        <w:tc>
          <w:tcPr>
            <w:tcW w:w="6660" w:type="dxa"/>
          </w:tcPr>
          <w:p>
            <w:r>
              <w:rPr>
                <w:rFonts w:hint="eastAsia"/>
              </w:rPr>
              <w:t>重点消防部位无人看护或巡视、无消防警示标志牌，值守巡视人员脱岗或不履行职责的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4.12</w:t>
            </w:r>
          </w:p>
        </w:tc>
        <w:tc>
          <w:tcPr>
            <w:tcW w:w="6660" w:type="dxa"/>
            <w:tcBorders>
              <w:top w:val="single" w:color="auto" w:sz="2" w:space="0"/>
            </w:tcBorders>
          </w:tcPr>
          <w:p>
            <w:r>
              <w:rPr>
                <w:rFonts w:hint="eastAsia"/>
              </w:rPr>
              <w:t>易燃、易爆物品不按规定进行分类存放或管理不善、无人看护、管理的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4.13</w:t>
            </w:r>
          </w:p>
        </w:tc>
        <w:tc>
          <w:tcPr>
            <w:tcW w:w="6660" w:type="dxa"/>
          </w:tcPr>
          <w:p>
            <w:r>
              <w:rPr>
                <w:rFonts w:hint="eastAsia"/>
              </w:rPr>
              <w:t>未设或侵占疏散通道、安全出口、消防通道，或通道出口不畅通、应急照明不符合规定的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4.14</w:t>
            </w:r>
          </w:p>
        </w:tc>
        <w:tc>
          <w:tcPr>
            <w:tcW w:w="6660" w:type="dxa"/>
          </w:tcPr>
          <w:p>
            <w:r>
              <w:rPr>
                <w:rFonts w:hint="eastAsia"/>
              </w:rPr>
              <w:t>工地现场未设置消火水源（消火栓）或消火水源不齐全、不合理，不能满足消防要求的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vAlign w:val="center"/>
          </w:tcPr>
          <w:p>
            <w:r>
              <w:t>4.15</w:t>
            </w:r>
          </w:p>
        </w:tc>
        <w:tc>
          <w:tcPr>
            <w:tcW w:w="6660" w:type="dxa"/>
            <w:tcBorders>
              <w:top w:val="single" w:color="auto" w:sz="2" w:space="0"/>
              <w:bottom w:val="single" w:color="auto" w:sz="2" w:space="0"/>
            </w:tcBorders>
          </w:tcPr>
          <w:p>
            <w:r>
              <w:rPr>
                <w:rFonts w:hint="eastAsia"/>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4.16</w:t>
            </w:r>
          </w:p>
        </w:tc>
        <w:tc>
          <w:tcPr>
            <w:tcW w:w="6660" w:type="dxa"/>
          </w:tcPr>
          <w:p>
            <w:r>
              <w:rPr>
                <w:rFonts w:hint="eastAsia"/>
              </w:rPr>
              <w:t>灭火器材无专人维护、保养、检查和登记管理的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4.17</w:t>
            </w:r>
          </w:p>
        </w:tc>
        <w:tc>
          <w:tcPr>
            <w:tcW w:w="6660" w:type="dxa"/>
          </w:tcPr>
          <w:p>
            <w:r>
              <w:rPr>
                <w:rFonts w:hint="eastAsia"/>
              </w:rPr>
              <w:t>违章关闭消防设施、切断电源或挪用消防灭火器材的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4.18</w:t>
            </w:r>
          </w:p>
        </w:tc>
        <w:tc>
          <w:tcPr>
            <w:tcW w:w="6660" w:type="dxa"/>
          </w:tcPr>
          <w:p>
            <w:r>
              <w:rPr>
                <w:rFonts w:hint="eastAsia"/>
              </w:rPr>
              <w:t>动火作业未经机场公安消防管理部门审查批准的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4.19</w:t>
            </w:r>
          </w:p>
        </w:tc>
        <w:tc>
          <w:tcPr>
            <w:tcW w:w="6660" w:type="dxa"/>
            <w:tcBorders>
              <w:top w:val="single" w:color="auto" w:sz="2" w:space="0"/>
            </w:tcBorders>
          </w:tcPr>
          <w:p>
            <w:r>
              <w:rPr>
                <w:rFonts w:hint="eastAsia"/>
              </w:rPr>
              <w:t>施工现场未及时清理地面可燃物，动火作业未清理地面可燃物的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4.20</w:t>
            </w:r>
          </w:p>
        </w:tc>
        <w:tc>
          <w:tcPr>
            <w:tcW w:w="6660" w:type="dxa"/>
          </w:tcPr>
          <w:p>
            <w:r>
              <w:rPr>
                <w:rFonts w:hint="eastAsia"/>
              </w:rPr>
              <w:t>动火作业无接火盆、现场无看火人、灭火器材配备不足、过期、失效的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4.21</w:t>
            </w:r>
          </w:p>
        </w:tc>
        <w:tc>
          <w:tcPr>
            <w:tcW w:w="6660" w:type="dxa"/>
          </w:tcPr>
          <w:p>
            <w:r>
              <w:rPr>
                <w:rFonts w:hint="eastAsia"/>
              </w:rPr>
              <w:t>动火作业火花隔层溅落未采取有效安全措施的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4.22</w:t>
            </w:r>
          </w:p>
        </w:tc>
        <w:tc>
          <w:tcPr>
            <w:tcW w:w="6660" w:type="dxa"/>
            <w:tcBorders>
              <w:top w:val="single" w:color="auto" w:sz="2" w:space="0"/>
            </w:tcBorders>
          </w:tcPr>
          <w:p>
            <w:r>
              <w:rPr>
                <w:rFonts w:hint="eastAsia"/>
              </w:rPr>
              <w:t>气瓶无标准色标，无防震圈和防护帽的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4.23</w:t>
            </w:r>
          </w:p>
        </w:tc>
        <w:tc>
          <w:tcPr>
            <w:tcW w:w="6660" w:type="dxa"/>
          </w:tcPr>
          <w:p>
            <w:r>
              <w:rPr>
                <w:rFonts w:hint="eastAsia"/>
              </w:rPr>
              <w:t>气瓶横放或气瓶间距小于</w:t>
            </w:r>
            <w:r>
              <w:t>5</w:t>
            </w:r>
            <w:r>
              <w:rPr>
                <w:rFonts w:hint="eastAsia"/>
              </w:rPr>
              <w:t>米、距明火小于</w:t>
            </w:r>
            <w:r>
              <w:t>10</w:t>
            </w:r>
            <w:r>
              <w:rPr>
                <w:rFonts w:hint="eastAsia"/>
              </w:rPr>
              <w:t>米又无隔离措施的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4.24</w:t>
            </w:r>
          </w:p>
        </w:tc>
        <w:tc>
          <w:tcPr>
            <w:tcW w:w="6660" w:type="dxa"/>
          </w:tcPr>
          <w:p>
            <w:r>
              <w:rPr>
                <w:rFonts w:hint="eastAsia"/>
              </w:rPr>
              <w:t>乙炔瓶使用或存放时平放或不按规定存放的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4.25</w:t>
            </w:r>
          </w:p>
        </w:tc>
        <w:tc>
          <w:tcPr>
            <w:tcW w:w="6660" w:type="dxa"/>
          </w:tcPr>
          <w:p>
            <w:r>
              <w:rPr>
                <w:rFonts w:hint="eastAsia"/>
              </w:rPr>
              <w:t>发生其它违反国家消防法律法规，消防安全管理规章制度现象的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w:t>
            </w:r>
          </w:p>
        </w:tc>
        <w:tc>
          <w:tcPr>
            <w:tcW w:w="6660" w:type="dxa"/>
            <w:tcBorders>
              <w:bottom w:val="single" w:color="auto" w:sz="2" w:space="0"/>
            </w:tcBorders>
          </w:tcPr>
          <w:p>
            <w:r>
              <w:rPr>
                <w:rFonts w:hint="eastAsia"/>
              </w:rPr>
              <w:t>文明施工</w:t>
            </w:r>
          </w:p>
        </w:tc>
        <w:tc>
          <w:tcPr>
            <w:tcW w:w="720" w:type="dxa"/>
            <w:tcBorders>
              <w:bottom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w:t>
            </w:r>
          </w:p>
        </w:tc>
        <w:tc>
          <w:tcPr>
            <w:tcW w:w="6660" w:type="dxa"/>
            <w:tcBorders>
              <w:bottom w:val="single" w:color="auto" w:sz="2" w:space="0"/>
            </w:tcBorders>
          </w:tcPr>
          <w:p>
            <w:r>
              <w:rPr>
                <w:rFonts w:hint="eastAsia"/>
              </w:rPr>
              <w:t>施工工地未按照投标承诺实行标化管理的要求进行建设和管理的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5.2</w:t>
            </w:r>
          </w:p>
        </w:tc>
        <w:tc>
          <w:tcPr>
            <w:tcW w:w="6660" w:type="dxa"/>
            <w:tcBorders>
              <w:bottom w:val="single" w:color="auto" w:sz="2" w:space="0"/>
            </w:tcBorders>
          </w:tcPr>
          <w:p>
            <w:r>
              <w:rPr>
                <w:rFonts w:hint="eastAsia"/>
              </w:rPr>
              <w:t>施工现场未建立生活设施、管理制度和日常检查、考核制度。</w:t>
            </w:r>
            <w:r>
              <w:t xml:space="preserve"> </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vAlign w:val="center"/>
          </w:tcPr>
          <w:p>
            <w:r>
              <w:t>5.3</w:t>
            </w:r>
          </w:p>
        </w:tc>
        <w:tc>
          <w:tcPr>
            <w:tcW w:w="6660" w:type="dxa"/>
            <w:tcBorders>
              <w:bottom w:val="single" w:color="auto" w:sz="2" w:space="0"/>
            </w:tcBorders>
          </w:tcPr>
          <w:p>
            <w:r>
              <w:rPr>
                <w:rFonts w:hint="eastAsia"/>
              </w:rPr>
              <w:t>建筑材料、构件、料具堆放零乱，堆放不齐，未标名品、种型的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5.4</w:t>
            </w:r>
          </w:p>
        </w:tc>
        <w:tc>
          <w:tcPr>
            <w:tcW w:w="6660" w:type="dxa"/>
            <w:tcBorders>
              <w:bottom w:val="single" w:color="auto" w:sz="2" w:space="0"/>
            </w:tcBorders>
          </w:tcPr>
          <w:p>
            <w:r>
              <w:rPr>
                <w:rFonts w:hint="eastAsia"/>
              </w:rPr>
              <w:t>工地道路不做硬化处理，工地地面无绿化，道面任意占用、工地内道路不畅通的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5.5</w:t>
            </w:r>
          </w:p>
        </w:tc>
        <w:tc>
          <w:tcPr>
            <w:tcW w:w="6660" w:type="dxa"/>
            <w:tcBorders>
              <w:bottom w:val="single" w:color="auto" w:sz="2" w:space="0"/>
            </w:tcBorders>
          </w:tcPr>
          <w:p>
            <w:r>
              <w:rPr>
                <w:rFonts w:hint="eastAsia"/>
              </w:rPr>
              <w:t>施工现场无排水设施或排水不全、不通畅的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5.6</w:t>
            </w:r>
          </w:p>
        </w:tc>
        <w:tc>
          <w:tcPr>
            <w:tcW w:w="6660" w:type="dxa"/>
            <w:tcBorders>
              <w:bottom w:val="single" w:color="auto" w:sz="2" w:space="0"/>
            </w:tcBorders>
          </w:tcPr>
          <w:p>
            <w:r>
              <w:rPr>
                <w:rFonts w:hint="eastAsia"/>
              </w:rPr>
              <w:t>无防止泥浆、污水、废水外流或堵塞下水道和排水河道措施的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5.7</w:t>
            </w:r>
          </w:p>
        </w:tc>
        <w:tc>
          <w:tcPr>
            <w:tcW w:w="6660" w:type="dxa"/>
            <w:tcBorders>
              <w:bottom w:val="single" w:color="auto" w:sz="2" w:space="0"/>
            </w:tcBorders>
          </w:tcPr>
          <w:p>
            <w:r>
              <w:rPr>
                <w:rFonts w:hint="eastAsia"/>
              </w:rPr>
              <w:t>工地地面（楼层面）存在积水、积雪现象的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5.8</w:t>
            </w:r>
          </w:p>
        </w:tc>
        <w:tc>
          <w:tcPr>
            <w:tcW w:w="6660" w:type="dxa"/>
            <w:tcBorders>
              <w:bottom w:val="single" w:color="auto" w:sz="2" w:space="0"/>
            </w:tcBorders>
          </w:tcPr>
          <w:p>
            <w:r>
              <w:rPr>
                <w:rFonts w:hint="eastAsia"/>
              </w:rPr>
              <w:t>施工现场、周围的建筑和生活垃圾不及时清扫、清运和处理或现场焚烧垃圾、有毒有害物质的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5.9</w:t>
            </w:r>
          </w:p>
        </w:tc>
        <w:tc>
          <w:tcPr>
            <w:tcW w:w="6660" w:type="dxa"/>
            <w:tcBorders>
              <w:bottom w:val="single" w:color="auto" w:sz="2" w:space="0"/>
            </w:tcBorders>
          </w:tcPr>
          <w:p>
            <w:r>
              <w:rPr>
                <w:rFonts w:hint="eastAsia"/>
              </w:rPr>
              <w:t>施工现场临时厕所设置不足或不符合卫生要求的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5.10</w:t>
            </w:r>
          </w:p>
        </w:tc>
        <w:tc>
          <w:tcPr>
            <w:tcW w:w="6660" w:type="dxa"/>
            <w:tcBorders>
              <w:bottom w:val="single" w:color="auto" w:sz="2" w:space="0"/>
            </w:tcBorders>
          </w:tcPr>
          <w:p>
            <w:r>
              <w:rPr>
                <w:rFonts w:hint="eastAsia"/>
              </w:rPr>
              <w:t>施工人员随地大小便的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5.11</w:t>
            </w:r>
          </w:p>
        </w:tc>
        <w:tc>
          <w:tcPr>
            <w:tcW w:w="6660" w:type="dxa"/>
            <w:tcBorders>
              <w:bottom w:val="single" w:color="auto" w:sz="2" w:space="0"/>
            </w:tcBorders>
          </w:tcPr>
          <w:p>
            <w:r>
              <w:rPr>
                <w:rFonts w:hint="eastAsia"/>
              </w:rPr>
              <w:t>未做到工完场地清的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5.12</w:t>
            </w:r>
          </w:p>
        </w:tc>
        <w:tc>
          <w:tcPr>
            <w:tcW w:w="6660" w:type="dxa"/>
            <w:tcBorders>
              <w:bottom w:val="single" w:color="auto" w:sz="2" w:space="0"/>
            </w:tcBorders>
          </w:tcPr>
          <w:p>
            <w:r>
              <w:rPr>
                <w:rFonts w:hint="eastAsia"/>
              </w:rPr>
              <w:t>不按规定高度、材质及美观要求设置工地围挡、围墙的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5.13</w:t>
            </w:r>
          </w:p>
        </w:tc>
        <w:tc>
          <w:tcPr>
            <w:tcW w:w="6660" w:type="dxa"/>
            <w:tcBorders>
              <w:bottom w:val="single" w:color="auto" w:sz="2" w:space="0"/>
            </w:tcBorders>
          </w:tcPr>
          <w:p>
            <w:r>
              <w:rPr>
                <w:rFonts w:hint="eastAsia"/>
              </w:rPr>
              <w:t>不按规定对工地现场实施封闭管理的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5.14</w:t>
            </w:r>
          </w:p>
        </w:tc>
        <w:tc>
          <w:tcPr>
            <w:tcW w:w="6660" w:type="dxa"/>
            <w:tcBorders>
              <w:bottom w:val="single" w:color="auto" w:sz="2" w:space="0"/>
            </w:tcBorders>
          </w:tcPr>
          <w:p>
            <w:r>
              <w:rPr>
                <w:rFonts w:hint="eastAsia"/>
              </w:rPr>
              <w:t>无门卫和无门卫制度，或门卫制度执行不严格，存在人员、车辆无证任意进出的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5.15</w:t>
            </w:r>
          </w:p>
        </w:tc>
        <w:tc>
          <w:tcPr>
            <w:tcW w:w="6660" w:type="dxa"/>
            <w:tcBorders>
              <w:bottom w:val="single" w:color="auto" w:sz="2" w:space="0"/>
            </w:tcBorders>
          </w:tcPr>
          <w:p>
            <w:r>
              <w:rPr>
                <w:rFonts w:hint="eastAsia"/>
              </w:rPr>
              <w:t>现场未按安全标志总平面图设置安全标志的，或安全标志、警示标志残缺不全的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5.16</w:t>
            </w:r>
          </w:p>
        </w:tc>
        <w:tc>
          <w:tcPr>
            <w:tcW w:w="6660" w:type="dxa"/>
            <w:tcBorders>
              <w:bottom w:val="single" w:color="auto" w:sz="2" w:space="0"/>
            </w:tcBorders>
          </w:tcPr>
          <w:p>
            <w:r>
              <w:rPr>
                <w:rFonts w:hint="eastAsia"/>
              </w:rPr>
              <w:t>夜间施工照明设施不足、无现场管理员和安全员看护，存在安全隐患的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w:t>
            </w:r>
          </w:p>
        </w:tc>
        <w:tc>
          <w:tcPr>
            <w:tcW w:w="6660" w:type="dxa"/>
          </w:tcPr>
          <w:p>
            <w:r>
              <w:rPr>
                <w:rFonts w:hint="eastAsia"/>
              </w:rPr>
              <w:t>临时宿舍管理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w:t>
            </w:r>
          </w:p>
        </w:tc>
        <w:tc>
          <w:tcPr>
            <w:tcW w:w="6660" w:type="dxa"/>
          </w:tcPr>
          <w:p>
            <w:r>
              <w:rPr>
                <w:rFonts w:hint="eastAsia"/>
              </w:rPr>
              <w:t>宿舍区管理制度不健全，未落实日常管理责任人</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6.2</w:t>
            </w:r>
          </w:p>
        </w:tc>
        <w:tc>
          <w:tcPr>
            <w:tcW w:w="6660" w:type="dxa"/>
          </w:tcPr>
          <w:p>
            <w:r>
              <w:rPr>
                <w:rFonts w:hint="eastAsia"/>
              </w:rPr>
              <w:t>宿舍区无专（兼）职治安、防火、卫生管理监督巡视员</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6.3</w:t>
            </w:r>
          </w:p>
        </w:tc>
        <w:tc>
          <w:tcPr>
            <w:tcW w:w="6660" w:type="dxa"/>
          </w:tcPr>
          <w:p>
            <w:r>
              <w:rPr>
                <w:rFonts w:hint="eastAsia"/>
              </w:rPr>
              <w:t>宿舍区未实行封闭管理，留宿外来人员无登记制度、存在男女混居现象的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6.4</w:t>
            </w:r>
          </w:p>
        </w:tc>
        <w:tc>
          <w:tcPr>
            <w:tcW w:w="6660" w:type="dxa"/>
          </w:tcPr>
          <w:p>
            <w:r>
              <w:rPr>
                <w:rFonts w:hint="eastAsia"/>
              </w:rPr>
              <w:t>在尚未竣工的建筑物内设置临设的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6.5</w:t>
            </w:r>
          </w:p>
        </w:tc>
        <w:tc>
          <w:tcPr>
            <w:tcW w:w="6660" w:type="dxa"/>
          </w:tcPr>
          <w:p>
            <w:r>
              <w:rPr>
                <w:rFonts w:hint="eastAsia"/>
              </w:rPr>
              <w:t>临时宿舍、设施未经验收合格投入使用的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6.6</w:t>
            </w:r>
          </w:p>
        </w:tc>
        <w:tc>
          <w:tcPr>
            <w:tcW w:w="6660" w:type="dxa"/>
          </w:tcPr>
          <w:p>
            <w:r>
              <w:rPr>
                <w:rFonts w:hint="eastAsia"/>
              </w:rPr>
              <w:t>临时宿舍、设施无抗大风（</w:t>
            </w:r>
            <w:r>
              <w:t>10</w:t>
            </w:r>
            <w:r>
              <w:rPr>
                <w:rFonts w:hint="eastAsia"/>
              </w:rPr>
              <w:t>级以上）、防雷击措施的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6.7</w:t>
            </w:r>
          </w:p>
        </w:tc>
        <w:tc>
          <w:tcPr>
            <w:tcW w:w="6660" w:type="dxa"/>
          </w:tcPr>
          <w:p>
            <w:r>
              <w:rPr>
                <w:rFonts w:hint="eastAsia"/>
              </w:rPr>
              <w:t>宿舍区消防器材配备不足或失效的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6.8</w:t>
            </w:r>
          </w:p>
        </w:tc>
        <w:tc>
          <w:tcPr>
            <w:tcW w:w="6660" w:type="dxa"/>
          </w:tcPr>
          <w:p>
            <w:r>
              <w:rPr>
                <w:rFonts w:hint="eastAsia"/>
              </w:rPr>
              <w:t>宿舍内未设置独立的漏电、短路保护器和足够数量的安全插座，存在私拉乱接电线现象的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vAlign w:val="center"/>
          </w:tcPr>
          <w:p>
            <w:r>
              <w:t>6.9</w:t>
            </w:r>
          </w:p>
        </w:tc>
        <w:tc>
          <w:tcPr>
            <w:tcW w:w="6660" w:type="dxa"/>
          </w:tcPr>
          <w:p>
            <w:r>
              <w:rPr>
                <w:rFonts w:hint="eastAsia"/>
              </w:rPr>
              <w:t>宿舍内（包括值班室）违规使用大功率电器的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6.10</w:t>
            </w:r>
          </w:p>
        </w:tc>
        <w:tc>
          <w:tcPr>
            <w:tcW w:w="6660" w:type="dxa"/>
          </w:tcPr>
          <w:p>
            <w:r>
              <w:rPr>
                <w:rFonts w:hint="eastAsia"/>
              </w:rPr>
              <w:t>宿舍内混杂堆放工具、用具、易燃易爆或有毒物品的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6.11</w:t>
            </w:r>
          </w:p>
        </w:tc>
        <w:tc>
          <w:tcPr>
            <w:tcW w:w="6660" w:type="dxa"/>
          </w:tcPr>
          <w:p>
            <w:r>
              <w:rPr>
                <w:rFonts w:hint="eastAsia"/>
              </w:rPr>
              <w:t>宿舍内垃圾无人清扫，生活用品放置零乱的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6.12</w:t>
            </w:r>
          </w:p>
        </w:tc>
        <w:tc>
          <w:tcPr>
            <w:tcW w:w="6660" w:type="dxa"/>
          </w:tcPr>
          <w:p>
            <w:r>
              <w:rPr>
                <w:rFonts w:hint="eastAsia"/>
              </w:rPr>
              <w:t>无卫生防病宣传教育</w:t>
            </w:r>
            <w:r>
              <w:t>,</w:t>
            </w:r>
            <w:r>
              <w:rPr>
                <w:rFonts w:hint="eastAsia"/>
              </w:rPr>
              <w:t>或无保健医药箱、急救器材、急救措施和经培训的急救人员的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6.13</w:t>
            </w:r>
          </w:p>
        </w:tc>
        <w:tc>
          <w:tcPr>
            <w:tcW w:w="6660" w:type="dxa"/>
          </w:tcPr>
          <w:p>
            <w:r>
              <w:rPr>
                <w:rFonts w:hint="eastAsia"/>
              </w:rPr>
              <w:t>食堂卫生管理制度不全，管理不善，设施不全，卫生不符合要求，未按要求设置足够数量开水炉、电热水器或饮用水保温桶等基本生活设施的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6.14</w:t>
            </w:r>
          </w:p>
        </w:tc>
        <w:tc>
          <w:tcPr>
            <w:tcW w:w="6660" w:type="dxa"/>
          </w:tcPr>
          <w:p>
            <w:r>
              <w:rPr>
                <w:rFonts w:hint="eastAsia"/>
              </w:rPr>
              <w:t>宿舍区未提供为作业人员晾晒衣物的场地和设施</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vAlign w:val="center"/>
          </w:tcPr>
          <w:p>
            <w:r>
              <w:t>6.15</w:t>
            </w:r>
          </w:p>
        </w:tc>
        <w:tc>
          <w:tcPr>
            <w:tcW w:w="6660" w:type="dxa"/>
            <w:tcBorders>
              <w:top w:val="single" w:color="auto" w:sz="2" w:space="0"/>
            </w:tcBorders>
          </w:tcPr>
          <w:p>
            <w:r>
              <w:rPr>
                <w:rFonts w:hint="eastAsia"/>
              </w:rPr>
              <w:t>宿舍区未设置水冲式厕所和符合要求淋浴室的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vAlign w:val="center"/>
          </w:tcPr>
          <w:p>
            <w:r>
              <w:t>6.16</w:t>
            </w:r>
          </w:p>
        </w:tc>
        <w:tc>
          <w:tcPr>
            <w:tcW w:w="6660" w:type="dxa"/>
            <w:tcBorders>
              <w:top w:val="single" w:color="auto" w:sz="2" w:space="0"/>
              <w:bottom w:val="single" w:color="auto" w:sz="2" w:space="0"/>
            </w:tcBorders>
          </w:tcPr>
          <w:p>
            <w:r>
              <w:rPr>
                <w:rFonts w:hint="eastAsia"/>
              </w:rPr>
              <w:t>宿舍生活区未设置施工人员学习娱乐场所的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6.17</w:t>
            </w:r>
          </w:p>
        </w:tc>
        <w:tc>
          <w:tcPr>
            <w:tcW w:w="6660" w:type="dxa"/>
          </w:tcPr>
          <w:p>
            <w:r>
              <w:rPr>
                <w:rFonts w:hint="eastAsia"/>
              </w:rPr>
              <w:t>宿舍区墙壁屋顶不严密、门窗不齐全，或通风效果差的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6.18</w:t>
            </w:r>
          </w:p>
        </w:tc>
        <w:tc>
          <w:tcPr>
            <w:tcW w:w="6660" w:type="dxa"/>
          </w:tcPr>
          <w:p>
            <w:r>
              <w:rPr>
                <w:rFonts w:hint="eastAsia"/>
              </w:rPr>
              <w:t>宿舍无保暖、防暑、防蚊虫叮咬措施的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6.19</w:t>
            </w:r>
          </w:p>
        </w:tc>
        <w:tc>
          <w:tcPr>
            <w:tcW w:w="6660" w:type="dxa"/>
          </w:tcPr>
          <w:p>
            <w:r>
              <w:rPr>
                <w:rFonts w:hint="eastAsia"/>
              </w:rPr>
              <w:t>宿舍生活区、大门口及周围毗邻区域垃圾未装容器，垃圾清扫、清运不及时、排水不畅，环境卫生不符合要求的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bl>
    <w:p/>
    <w:p/>
    <w:p/>
    <w:p>
      <w:pPr>
        <w:jc w:val="center"/>
      </w:pPr>
      <w:r>
        <w:br w:type="page"/>
      </w:r>
      <w:r>
        <w:rPr>
          <w:rFonts w:hint="eastAsia"/>
        </w:rPr>
        <w:t>安全隐患整改通知书</w:t>
      </w:r>
    </w:p>
    <w:p>
      <w:r>
        <w:t xml:space="preserve">                                            </w:t>
      </w:r>
      <w:r>
        <w:rPr>
          <w:rFonts w:hint="eastAsia"/>
        </w:rPr>
        <w:t>基建（安）第</w:t>
      </w:r>
      <w:r>
        <w:t xml:space="preserve">   </w:t>
      </w:r>
      <w:r>
        <w:rPr>
          <w:rFonts w:hint="eastAsia"/>
        </w:rPr>
        <w:t>号</w:t>
      </w:r>
    </w:p>
    <w:tbl>
      <w:tblPr>
        <w:tblStyle w:val="14"/>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工程名称</w:t>
            </w:r>
          </w:p>
        </w:tc>
        <w:tc>
          <w:tcPr>
            <w:tcW w:w="2730" w:type="dxa"/>
            <w:vAlign w:val="center"/>
          </w:tcPr>
          <w:p/>
        </w:tc>
        <w:tc>
          <w:tcPr>
            <w:tcW w:w="2250" w:type="dxa"/>
            <w:vAlign w:val="center"/>
          </w:tcPr>
          <w:p>
            <w:r>
              <w:rPr>
                <w:rFonts w:hint="eastAsia"/>
              </w:rPr>
              <w:t>责任施工项目部</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责任监理项目部</w:t>
            </w:r>
          </w:p>
        </w:tc>
        <w:tc>
          <w:tcPr>
            <w:tcW w:w="2730" w:type="dxa"/>
            <w:vAlign w:val="center"/>
          </w:tcPr>
          <w:p/>
        </w:tc>
        <w:tc>
          <w:tcPr>
            <w:tcW w:w="2250" w:type="dxa"/>
            <w:vAlign w:val="center"/>
          </w:tcPr>
          <w:p>
            <w:r>
              <w:rPr>
                <w:rFonts w:hint="eastAsia"/>
              </w:rPr>
              <w:t>责任人（甲方）</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r>
              <w:rPr>
                <w:rFonts w:hint="eastAsia"/>
              </w:rPr>
              <w:t>序号</w:t>
            </w:r>
          </w:p>
        </w:tc>
        <w:tc>
          <w:tcPr>
            <w:tcW w:w="4095" w:type="dxa"/>
            <w:gridSpan w:val="2"/>
            <w:vAlign w:val="center"/>
          </w:tcPr>
          <w:p>
            <w:r>
              <w:rPr>
                <w:rFonts w:hint="eastAsia"/>
              </w:rPr>
              <w:t>存在的安全隐患</w:t>
            </w:r>
          </w:p>
        </w:tc>
        <w:tc>
          <w:tcPr>
            <w:tcW w:w="3300" w:type="dxa"/>
            <w:gridSpan w:val="2"/>
            <w:vAlign w:val="center"/>
          </w:tcPr>
          <w:p>
            <w:r>
              <w:rPr>
                <w:rFonts w:hint="eastAsia"/>
              </w:rPr>
              <w:t>整改建议</w:t>
            </w:r>
          </w:p>
        </w:tc>
        <w:tc>
          <w:tcPr>
            <w:tcW w:w="1423" w:type="dxa"/>
            <w:vAlign w:val="center"/>
          </w:tcPr>
          <w:p>
            <w:r>
              <w:rPr>
                <w:rFonts w:hint="eastAsia"/>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r>
              <w:rPr>
                <w:rFonts w:hint="eastAsia"/>
              </w:rPr>
              <w:t>责任单位项目部（签章）：</w:t>
            </w:r>
          </w:p>
        </w:tc>
        <w:tc>
          <w:tcPr>
            <w:tcW w:w="4723" w:type="dxa"/>
            <w:gridSpan w:val="3"/>
          </w:tcPr>
          <w:p>
            <w:r>
              <w:rPr>
                <w:rFonts w:hint="eastAsia"/>
              </w:rPr>
              <w:t>检查人员（签字）：</w:t>
            </w:r>
          </w:p>
          <w:p/>
          <w:p>
            <w:r>
              <w:rPr>
                <w:rFonts w:hint="eastAsia"/>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r>
              <w:t xml:space="preserve">                           </w:t>
            </w:r>
          </w:p>
          <w:p>
            <w:r>
              <w:rPr>
                <w:rFonts w:hint="eastAsia"/>
              </w:rPr>
              <w:t>检查部门（签章）</w:t>
            </w:r>
          </w:p>
          <w:p>
            <w:r>
              <w:t xml:space="preserve">                                          </w:t>
            </w:r>
          </w:p>
          <w:p>
            <w:r>
              <w:rPr>
                <w:rFonts w:hint="eastAsia"/>
              </w:rPr>
              <w:t>二○　　年　　月　　　日</w:t>
            </w:r>
          </w:p>
        </w:tc>
      </w:tr>
    </w:tbl>
    <w:p>
      <w:r>
        <w:rPr>
          <w:rFonts w:hint="eastAsia"/>
        </w:rPr>
        <w:t>注：</w:t>
      </w:r>
      <w:r>
        <w:t>1</w:t>
      </w:r>
      <w:r>
        <w:rPr>
          <w:rFonts w:hint="eastAsia"/>
        </w:rPr>
        <w:t>、施工项目部收到本通知单后，须在指定时限内完成整改，并递交《施工安全隐患整改回复单》；</w:t>
      </w:r>
      <w:r>
        <w:t>2</w:t>
      </w:r>
      <w:r>
        <w:rPr>
          <w:rFonts w:hint="eastAsia"/>
        </w:rPr>
        <w:t>、本通知书一式三份，检查人员、责任施工项目部、责任监理项目部各持一份。</w:t>
      </w:r>
      <w:r>
        <w:t>3</w:t>
      </w:r>
      <w:r>
        <w:rPr>
          <w:rFonts w:hint="eastAsia"/>
        </w:rPr>
        <w:t>、表格中的签章是指签字或盖章。</w:t>
      </w:r>
    </w:p>
    <w:p>
      <w:pPr>
        <w:jc w:val="center"/>
      </w:pPr>
      <w:r>
        <w:br w:type="page"/>
      </w:r>
      <w:r>
        <w:rPr>
          <w:rFonts w:hint="eastAsia"/>
        </w:rPr>
        <w:t>安全文明施工工作联系单（处罚）</w:t>
      </w:r>
    </w:p>
    <w:p>
      <w:r>
        <w:rPr>
          <w:rFonts w:hint="eastAsia"/>
        </w:rPr>
        <w:t>基建（安）第</w:t>
      </w:r>
      <w:r>
        <w:t xml:space="preserve">   </w:t>
      </w:r>
      <w:r>
        <w:rPr>
          <w:rFonts w:hint="eastAsia"/>
        </w:rPr>
        <w:t>号</w:t>
      </w:r>
    </w:p>
    <w:tbl>
      <w:tblPr>
        <w:tblStyle w:val="14"/>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r>
              <w:rPr>
                <w:rFonts w:hint="eastAsia"/>
              </w:rPr>
              <w:t>责任单位项目部</w:t>
            </w:r>
          </w:p>
        </w:tc>
        <w:tc>
          <w:tcPr>
            <w:tcW w:w="7258"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r>
              <w:rPr>
                <w:rFonts w:hint="eastAsia"/>
              </w:rPr>
              <w:t>整改通知书编号</w:t>
            </w:r>
          </w:p>
        </w:tc>
        <w:tc>
          <w:tcPr>
            <w:tcW w:w="8353" w:type="dxa"/>
            <w:gridSpan w:val="6"/>
            <w:vAlign w:val="center"/>
          </w:tcPr>
          <w:p>
            <w:r>
              <w:rPr>
                <w:rFonts w:hint="eastAsia"/>
              </w:rPr>
              <w:t>处</w:t>
            </w:r>
            <w:r>
              <w:t xml:space="preserve">   </w:t>
            </w:r>
            <w:r>
              <w:rPr>
                <w:rFonts w:hint="eastAsia"/>
              </w:rPr>
              <w:t>罚</w:t>
            </w:r>
            <w:r>
              <w:t xml:space="preserve">    </w:t>
            </w:r>
            <w:r>
              <w:rPr>
                <w:rFonts w:hint="eastAsia"/>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tc>
        <w:tc>
          <w:tcPr>
            <w:tcW w:w="1967" w:type="dxa"/>
            <w:gridSpan w:val="4"/>
            <w:vAlign w:val="center"/>
          </w:tcPr>
          <w:p>
            <w:r>
              <w:rPr>
                <w:rFonts w:hint="eastAsia"/>
              </w:rPr>
              <w:t>处罚数额（元）</w:t>
            </w:r>
          </w:p>
        </w:tc>
        <w:tc>
          <w:tcPr>
            <w:tcW w:w="6386" w:type="dxa"/>
            <w:gridSpan w:val="2"/>
            <w:vAlign w:val="center"/>
          </w:tcPr>
          <w:p>
            <w:r>
              <w:rPr>
                <w:rFonts w:hint="eastAsia"/>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r>
              <w:rPr>
                <w:rFonts w:hint="eastAsia"/>
              </w:rPr>
              <w:t>处罚合计（元）</w:t>
            </w:r>
          </w:p>
        </w:tc>
        <w:tc>
          <w:tcPr>
            <w:tcW w:w="1440" w:type="dxa"/>
            <w:gridSpan w:val="3"/>
            <w:vAlign w:val="center"/>
          </w:tcPr>
          <w:p/>
        </w:tc>
        <w:tc>
          <w:tcPr>
            <w:tcW w:w="3148" w:type="dxa"/>
            <w:vAlign w:val="center"/>
          </w:tcPr>
          <w:p>
            <w:r>
              <w:rPr>
                <w:rFonts w:hint="eastAsia"/>
              </w:rPr>
              <w:t>检查人员</w:t>
            </w:r>
          </w:p>
        </w:tc>
        <w:tc>
          <w:tcPr>
            <w:tcW w:w="323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r>
              <w:rPr>
                <w:rFonts w:hint="eastAsia"/>
              </w:rPr>
              <w:t>责任施工项目部（签章）</w:t>
            </w:r>
          </w:p>
        </w:tc>
        <w:tc>
          <w:tcPr>
            <w:tcW w:w="3252" w:type="dxa"/>
            <w:gridSpan w:val="2"/>
          </w:tcPr>
          <w:p>
            <w:r>
              <w:rPr>
                <w:rFonts w:hint="eastAsia"/>
              </w:rPr>
              <w:t>责任监理项目部（签章）</w:t>
            </w:r>
          </w:p>
          <w:p/>
          <w:p/>
          <w:p/>
          <w:p/>
        </w:tc>
        <w:tc>
          <w:tcPr>
            <w:tcW w:w="3238" w:type="dxa"/>
          </w:tcPr>
          <w:p>
            <w:r>
              <w:rPr>
                <w:rFonts w:hint="eastAsia"/>
              </w:rPr>
              <w:t>签发部门（签章）</w:t>
            </w:r>
          </w:p>
          <w:p/>
          <w:p/>
          <w:p>
            <w:r>
              <w:rPr>
                <w:rFonts w:hint="eastAsia"/>
              </w:rPr>
              <w:t>二○</w:t>
            </w:r>
            <w:r>
              <w:t xml:space="preserve">   </w:t>
            </w:r>
            <w:r>
              <w:rPr>
                <w:rFonts w:hint="eastAsia"/>
              </w:rPr>
              <w:t>年</w:t>
            </w:r>
            <w:r>
              <w:t xml:space="preserve">   </w:t>
            </w:r>
            <w:r>
              <w:rPr>
                <w:rFonts w:hint="eastAsia"/>
              </w:rPr>
              <w:t>月</w:t>
            </w:r>
            <w:r>
              <w:t xml:space="preserve">    </w:t>
            </w:r>
            <w:r>
              <w:rPr>
                <w:rFonts w:hint="eastAsia"/>
              </w:rPr>
              <w:t>日</w:t>
            </w:r>
          </w:p>
        </w:tc>
      </w:tr>
    </w:tbl>
    <w:p>
      <w:pPr>
        <w:rPr>
          <w:rFonts w:eastAsia="黑体" w:cs="Calibri"/>
          <w:kern w:val="0"/>
          <w:sz w:val="32"/>
        </w:rPr>
      </w:pPr>
      <w:r>
        <w:rPr>
          <w:rFonts w:hint="eastAsia"/>
        </w:rPr>
        <w:t>注：</w:t>
      </w:r>
      <w:r>
        <w:t>1</w:t>
      </w:r>
      <w:r>
        <w:rPr>
          <w:rFonts w:hint="eastAsia"/>
        </w:rPr>
        <w:t>、本扣分通知单一式四份，信导部、签发人、责任施工项目部和责任监理项目部各持一份。</w:t>
      </w:r>
      <w:r>
        <w:t>2</w:t>
      </w:r>
      <w:r>
        <w:rPr>
          <w:rFonts w:hint="eastAsia"/>
        </w:rPr>
        <w:t>、表格中的签章是指签字或盖章。</w:t>
      </w:r>
      <w:bookmarkStart w:id="124" w:name="_Toc25339"/>
      <w:bookmarkStart w:id="125" w:name="_Toc321925456"/>
    </w:p>
    <w:p/>
    <w:p/>
    <w:p>
      <w:pPr>
        <w:jc w:val="center"/>
        <w:rPr>
          <w:rFonts w:eastAsia="黑体" w:cs="Calibri"/>
          <w:kern w:val="0"/>
          <w:sz w:val="32"/>
        </w:rPr>
      </w:pPr>
    </w:p>
    <w:p>
      <w:pPr>
        <w:keepNext/>
        <w:keepLines/>
        <w:spacing w:line="15" w:lineRule="auto"/>
        <w:jc w:val="center"/>
        <w:rPr>
          <w:rFonts w:eastAsia="黑体" w:cs="Calibri"/>
          <w:kern w:val="0"/>
          <w:sz w:val="32"/>
        </w:rPr>
      </w:pPr>
    </w:p>
    <w:bookmarkEnd w:id="124"/>
    <w:bookmarkEnd w:id="125"/>
    <w:p>
      <w:pPr>
        <w:pStyle w:val="2"/>
        <w:spacing w:before="0" w:after="0"/>
        <w:rPr>
          <w:rFonts w:ascii="Calibri" w:hAnsi="Calibri" w:eastAsia="黑体" w:cs="Calibri"/>
          <w:kern w:val="0"/>
          <w:sz w:val="32"/>
        </w:rPr>
      </w:pPr>
      <w:bookmarkStart w:id="126" w:name="_Toc29892"/>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2"/>
        <w:spacing w:before="0" w:after="0"/>
        <w:jc w:val="center"/>
        <w:rPr>
          <w:rFonts w:hAnsi="宋体" w:cs="Calibri"/>
          <w:sz w:val="22"/>
          <w:szCs w:val="2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bookmarkEnd w:id="126"/>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否决投标处理</w:t>
      </w:r>
      <w:r>
        <w:rPr>
          <w:rFonts w:ascii="宋体" w:hAnsi="宋体" w:cs="Calibri"/>
          <w:b/>
          <w:bCs/>
          <w:kern w:val="0"/>
          <w:sz w:val="22"/>
        </w:rPr>
        <w:t>，</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3.3.1商务报价分70分</w:t>
      </w:r>
    </w:p>
    <w:p>
      <w:pPr>
        <w:pStyle w:val="4"/>
        <w:adjustRightInd w:val="0"/>
        <w:snapToGrid w:val="0"/>
        <w:spacing w:line="360" w:lineRule="exact"/>
        <w:ind w:firstLine="440" w:firstLineChars="200"/>
        <w:rPr>
          <w:rFonts w:hAnsi="宋体"/>
          <w:b/>
          <w:sz w:val="22"/>
          <w:szCs w:val="22"/>
        </w:rPr>
      </w:pP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报价评分应在投标报价响应招标文件要求的基础上，取所有有效投标报价按以下规则计算：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（1）有效投标报价平均值的计算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当n（有效投标报价数量，下同）≤5时，取所有有效投标报价的算术平均值；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当5＜n≤7时，取所有有效投标报价去掉1个最高和1个最低值后的算术平均值；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当7＜n≤10时，取所有有效投标报价去掉2个最高和2个最低值后的算术平均值；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当n＞10时，取所有有效投标报价去掉3个最高和3个最低值后的算术平均值。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（2）评标基准价的确定：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评标基准价：有效投标报价平均值与计算有效</w:t>
      </w:r>
      <w:r>
        <w:rPr>
          <w:rFonts w:hAnsi="宋体"/>
          <w:b/>
          <w:sz w:val="22"/>
          <w:szCs w:val="22"/>
        </w:rPr>
        <w:t>投标报价平均值</w:t>
      </w:r>
      <w:r>
        <w:rPr>
          <w:rFonts w:hint="eastAsia" w:hAnsi="宋体"/>
          <w:b/>
          <w:sz w:val="22"/>
          <w:szCs w:val="22"/>
        </w:rPr>
        <w:t>的有效投标报价中的次低投标价（不足4个的与最低投标价）的算术平均值为评标基准价。</w:t>
      </w:r>
    </w:p>
    <w:p>
      <w:pPr>
        <w:pStyle w:val="4"/>
        <w:adjustRightInd w:val="0"/>
        <w:snapToGrid w:val="0"/>
        <w:spacing w:line="360" w:lineRule="exact"/>
        <w:ind w:firstLine="440" w:firstLineChars="200"/>
        <w:rPr>
          <w:rFonts w:hAnsi="宋体" w:cs="Calibri"/>
          <w:sz w:val="22"/>
          <w:szCs w:val="22"/>
        </w:rPr>
      </w:pP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满分70分）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（70分）</w:t>
            </w:r>
          </w:p>
        </w:tc>
        <w:tc>
          <w:tcPr>
            <w:tcW w:w="5132" w:type="dxa"/>
            <w:vAlign w:val="center"/>
          </w:tcPr>
          <w:p>
            <w:pPr>
              <w:snapToGrid w:val="0"/>
              <w:jc w:val="left"/>
              <w:rPr>
                <w:rFonts w:ascii="宋体" w:hAnsi="宋体"/>
                <w:szCs w:val="21"/>
              </w:rPr>
            </w:pPr>
            <w:r>
              <w:rPr>
                <w:rFonts w:hint="eastAsia" w:ascii="宋体" w:hAnsi="宋体"/>
                <w:szCs w:val="21"/>
              </w:rPr>
              <w:t>与</w:t>
            </w:r>
            <w:r>
              <w:rPr>
                <w:rFonts w:hint="eastAsia" w:hAnsi="宋体"/>
                <w:b/>
                <w:sz w:val="22"/>
              </w:rPr>
              <w:t>评标</w:t>
            </w:r>
            <w:r>
              <w:rPr>
                <w:rFonts w:hint="eastAsia" w:ascii="宋体" w:hAnsi="宋体"/>
                <w:szCs w:val="21"/>
              </w:rPr>
              <w:t>基准价相等的为满分7</w:t>
            </w:r>
            <w:r>
              <w:rPr>
                <w:rFonts w:ascii="宋体" w:hAnsi="宋体"/>
                <w:szCs w:val="21"/>
              </w:rPr>
              <w:t>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w:t>
            </w:r>
            <w:r>
              <w:rPr>
                <w:rFonts w:hint="eastAsia" w:hAnsi="宋体"/>
                <w:b/>
                <w:sz w:val="22"/>
              </w:rPr>
              <w:t>评标</w:t>
            </w:r>
            <w:r>
              <w:rPr>
                <w:rFonts w:hint="eastAsia" w:ascii="宋体" w:hAnsi="宋体"/>
                <w:szCs w:val="21"/>
              </w:rPr>
              <w:t>基准价1</w:t>
            </w:r>
            <w:r>
              <w:rPr>
                <w:rFonts w:ascii="宋体" w:hAnsi="宋体"/>
                <w:szCs w:val="21"/>
              </w:rPr>
              <w:t>%,</w:t>
            </w:r>
            <w:r>
              <w:rPr>
                <w:rFonts w:hint="eastAsia" w:ascii="宋体" w:hAnsi="宋体"/>
                <w:szCs w:val="21"/>
              </w:rPr>
              <w:t>扣1分；</w:t>
            </w:r>
          </w:p>
          <w:p>
            <w:pPr>
              <w:snapToGrid w:val="0"/>
              <w:jc w:val="left"/>
              <w:rPr>
                <w:rFonts w:ascii="宋体" w:hAnsi="宋体"/>
                <w:szCs w:val="21"/>
              </w:rPr>
            </w:pPr>
            <w:r>
              <w:rPr>
                <w:rFonts w:hint="eastAsia" w:ascii="宋体" w:hAnsi="宋体"/>
                <w:szCs w:val="21"/>
              </w:rPr>
              <w:t>投标总价每低于</w:t>
            </w:r>
            <w:r>
              <w:rPr>
                <w:rFonts w:hint="eastAsia" w:hAnsi="宋体"/>
                <w:b/>
                <w:sz w:val="22"/>
              </w:rPr>
              <w:t>评标</w:t>
            </w:r>
            <w:r>
              <w:rPr>
                <w:rFonts w:hint="eastAsia" w:ascii="宋体" w:hAnsi="宋体"/>
                <w:szCs w:val="21"/>
              </w:rPr>
              <w:t>基准价1%，扣0.5分。</w:t>
            </w:r>
          </w:p>
          <w:p>
            <w:pPr>
              <w:snapToGrid w:val="0"/>
              <w:jc w:val="left"/>
              <w:rPr>
                <w:rFonts w:ascii="宋体" w:hAnsi="宋体"/>
                <w:szCs w:val="21"/>
              </w:rPr>
            </w:pPr>
            <w:r>
              <w:rPr>
                <w:rFonts w:hint="eastAsia" w:ascii="宋体" w:hAnsi="宋体"/>
                <w:bCs/>
                <w:szCs w:val="21"/>
              </w:rPr>
              <w:t>投标报价分扣分至30分止。</w:t>
            </w:r>
          </w:p>
        </w:tc>
        <w:tc>
          <w:tcPr>
            <w:tcW w:w="1276" w:type="dxa"/>
            <w:vAlign w:val="center"/>
          </w:tcPr>
          <w:p>
            <w:pPr>
              <w:snapToGrid w:val="0"/>
              <w:jc w:val="center"/>
              <w:rPr>
                <w:rFonts w:ascii="宋体" w:hAnsi="宋体"/>
                <w:b/>
                <w:szCs w:val="21"/>
              </w:rPr>
            </w:pPr>
            <w:r>
              <w:rPr>
                <w:rFonts w:hint="eastAsia" w:ascii="宋体" w:hAnsi="宋体"/>
                <w:b/>
                <w:szCs w:val="21"/>
              </w:rPr>
              <w:t>30-7</w:t>
            </w:r>
            <w:r>
              <w:rPr>
                <w:rFonts w:ascii="宋体" w:hAnsi="宋体"/>
                <w:b/>
                <w:szCs w:val="21"/>
              </w:rPr>
              <w:t>0</w:t>
            </w:r>
            <w:r>
              <w:rPr>
                <w:rFonts w:hint="eastAsia" w:ascii="宋体" w:hAnsi="宋体"/>
                <w:b/>
                <w:szCs w:val="21"/>
              </w:rPr>
              <w:t>分</w:t>
            </w:r>
          </w:p>
        </w:tc>
      </w:tr>
    </w:tbl>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0-30分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4"/>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szCs w:val="21"/>
              </w:rPr>
            </w:pPr>
            <w:r>
              <w:rPr>
                <w:rFonts w:hint="eastAsia" w:ascii="宋体" w:hAnsi="宋体"/>
                <w:szCs w:val="21"/>
              </w:rPr>
              <w:t>技术及业绩标评分（满分</w:t>
            </w:r>
            <w:r>
              <w:rPr>
                <w:rFonts w:hint="eastAsia" w:ascii="宋体" w:hAnsi="宋体"/>
                <w:bCs/>
                <w:szCs w:val="21"/>
              </w:rPr>
              <w:t>30分）</w:t>
            </w:r>
          </w:p>
        </w:tc>
        <w:tc>
          <w:tcPr>
            <w:tcW w:w="183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s="Calibri"/>
                <w:kern w:val="0"/>
                <w:sz w:val="22"/>
                <w:lang w:val="zh-CN"/>
              </w:rPr>
              <w:t>设备技术指响应偏离情况</w:t>
            </w:r>
          </w:p>
        </w:tc>
        <w:tc>
          <w:tcPr>
            <w:tcW w:w="4995" w:type="dxa"/>
            <w:tcBorders>
              <w:bottom w:val="single" w:color="auto" w:sz="4" w:space="0"/>
            </w:tcBorders>
            <w:vAlign w:val="center"/>
          </w:tcPr>
          <w:p>
            <w:pPr>
              <w:widowControl/>
              <w:jc w:val="left"/>
              <w:rPr>
                <w:rFonts w:ascii="宋体" w:hAnsi="宋体"/>
                <w:color w:val="000000"/>
                <w:szCs w:val="21"/>
              </w:rPr>
            </w:pPr>
            <w:r>
              <w:rPr>
                <w:rFonts w:hint="eastAsia" w:ascii="宋体" w:hAnsi="宋体" w:cs="Calibri"/>
                <w:kern w:val="0"/>
                <w:sz w:val="22"/>
                <w:lang w:val="zh-CN"/>
              </w:rPr>
              <w:t>对投标文件中设备技术的偏离情况进行评分。满分</w:t>
            </w:r>
            <w:r>
              <w:rPr>
                <w:rFonts w:hint="eastAsia" w:ascii="宋体" w:hAnsi="宋体" w:cs="Calibri"/>
                <w:kern w:val="0"/>
                <w:sz w:val="22"/>
              </w:rPr>
              <w:t>5</w:t>
            </w:r>
            <w:r>
              <w:rPr>
                <w:rFonts w:hint="eastAsia" w:ascii="宋体" w:hAnsi="宋体" w:cs="Calibri"/>
                <w:kern w:val="0"/>
                <w:sz w:val="22"/>
                <w:lang w:val="zh-CN"/>
              </w:rPr>
              <w:t>分，每项负偏离扣</w:t>
            </w:r>
            <w:r>
              <w:rPr>
                <w:rFonts w:hint="eastAsia" w:ascii="宋体" w:hAnsi="宋体" w:cs="Calibri"/>
                <w:kern w:val="0"/>
                <w:sz w:val="22"/>
              </w:rPr>
              <w:t>1</w:t>
            </w:r>
            <w:r>
              <w:rPr>
                <w:rFonts w:hint="eastAsia" w:ascii="宋体" w:hAnsi="宋体" w:cs="Calibri"/>
                <w:kern w:val="0"/>
                <w:sz w:val="22"/>
                <w:lang w:val="zh-CN"/>
              </w:rPr>
              <w:t>分，扣完为止；</w:t>
            </w:r>
          </w:p>
        </w:tc>
        <w:tc>
          <w:tcPr>
            <w:tcW w:w="1035" w:type="dxa"/>
            <w:tcBorders>
              <w:bottom w:val="single" w:color="auto" w:sz="4" w:space="0"/>
            </w:tcBorders>
            <w:vAlign w:val="center"/>
          </w:tcPr>
          <w:p>
            <w:pPr>
              <w:snapToGrid w:val="0"/>
              <w:rPr>
                <w:rFonts w:ascii="宋体" w:hAnsi="宋体"/>
                <w:b/>
                <w:szCs w:val="21"/>
              </w:rPr>
            </w:pPr>
            <w:r>
              <w:rPr>
                <w:rFonts w:hint="eastAsia" w:ascii="宋体" w:hAnsi="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tcBorders>
              <w:bottom w:val="single" w:color="auto" w:sz="4" w:space="0"/>
            </w:tcBorders>
            <w:vAlign w:val="center"/>
          </w:tcPr>
          <w:p>
            <w:pPr>
              <w:snapToGrid w:val="0"/>
              <w:jc w:val="center"/>
              <w:rPr>
                <w:rFonts w:ascii="宋体" w:hAnsi="宋体"/>
                <w:sz w:val="22"/>
              </w:rPr>
            </w:pPr>
            <w:r>
              <w:rPr>
                <w:rFonts w:hint="eastAsia" w:ascii="宋体" w:hAnsi="宋体"/>
                <w:sz w:val="22"/>
              </w:rPr>
              <w:t>品牌优劣性比较</w:t>
            </w:r>
          </w:p>
        </w:tc>
        <w:tc>
          <w:tcPr>
            <w:tcW w:w="4995" w:type="dxa"/>
            <w:tcBorders>
              <w:bottom w:val="single" w:color="auto" w:sz="4" w:space="0"/>
            </w:tcBorders>
            <w:vAlign w:val="center"/>
          </w:tcPr>
          <w:p>
            <w:pPr>
              <w:widowControl/>
              <w:jc w:val="left"/>
              <w:rPr>
                <w:rFonts w:ascii="宋体" w:hAnsi="宋体"/>
              </w:rPr>
            </w:pPr>
            <w:r>
              <w:rPr>
                <w:rFonts w:hint="eastAsia" w:ascii="宋体" w:hAnsi="宋体" w:cs="Calibri"/>
                <w:kern w:val="0"/>
                <w:sz w:val="22"/>
              </w:rPr>
              <w:t>根据投标人提供的材料设备的参数(</w:t>
            </w:r>
            <w:r>
              <w:rPr>
                <w:rFonts w:hint="eastAsia" w:ascii="宋体" w:hAnsi="宋体" w:cs="宋体"/>
                <w:color w:val="000000"/>
                <w:kern w:val="0"/>
                <w:sz w:val="20"/>
                <w:szCs w:val="20"/>
                <w:lang w:bidi="ar"/>
              </w:rPr>
              <w:t xml:space="preserve"> LED像素点间距</w:t>
            </w:r>
            <w:r>
              <w:rPr>
                <w:rFonts w:hint="eastAsia" w:ascii="宋体" w:hAnsi="宋体" w:cs="Calibri"/>
                <w:kern w:val="0"/>
                <w:sz w:val="22"/>
              </w:rPr>
              <w:t>、屏幕白平衡亮度)、性能和品牌优劣性等横向比较。（设备参数需要提供证明材料）</w:t>
            </w:r>
          </w:p>
        </w:tc>
        <w:tc>
          <w:tcPr>
            <w:tcW w:w="1035" w:type="dxa"/>
            <w:tcBorders>
              <w:bottom w:val="single" w:color="auto" w:sz="4" w:space="0"/>
            </w:tcBorders>
            <w:vAlign w:val="center"/>
          </w:tcPr>
          <w:p>
            <w:pPr>
              <w:snapToGrid w:val="0"/>
              <w:rPr>
                <w:rFonts w:ascii="宋体" w:hAnsi="宋体"/>
                <w:b/>
                <w:szCs w:val="21"/>
              </w:rPr>
            </w:pPr>
            <w:r>
              <w:rPr>
                <w:rFonts w:hint="eastAsia" w:ascii="宋体" w:hAnsi="宋体"/>
                <w:b/>
                <w:szCs w:val="21"/>
              </w:rPr>
              <w:t>0-1</w:t>
            </w:r>
            <w:r>
              <w:rPr>
                <w:rFonts w:ascii="宋体" w:hAnsi="宋体"/>
                <w:b/>
                <w:szCs w:val="21"/>
              </w:rPr>
              <w:t>0</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vAlign w:val="center"/>
          </w:tcPr>
          <w:p>
            <w:pPr>
              <w:jc w:val="center"/>
              <w:rPr>
                <w:rFonts w:ascii="宋体" w:hAnsi="宋体"/>
                <w:szCs w:val="21"/>
              </w:rPr>
            </w:pPr>
            <w:r>
              <w:rPr>
                <w:rFonts w:hint="eastAsia" w:ascii="宋体" w:hAnsi="宋体"/>
                <w:szCs w:val="21"/>
              </w:rPr>
              <w:t>设备安装、搬移和保护方案</w:t>
            </w:r>
          </w:p>
        </w:tc>
        <w:tc>
          <w:tcPr>
            <w:tcW w:w="4995" w:type="dxa"/>
            <w:vAlign w:val="center"/>
          </w:tcPr>
          <w:p>
            <w:pPr>
              <w:snapToGrid w:val="0"/>
              <w:jc w:val="left"/>
              <w:rPr>
                <w:rFonts w:ascii="宋体" w:hAnsi="宋体" w:cs="宋体"/>
                <w:bCs/>
                <w:iCs/>
                <w:szCs w:val="21"/>
              </w:rPr>
            </w:pPr>
            <w:r>
              <w:rPr>
                <w:rFonts w:hint="eastAsia" w:ascii="宋体" w:hAnsi="宋体"/>
                <w:szCs w:val="21"/>
              </w:rPr>
              <w:t>根据投标文件中对LED全彩大屏的安装方案，原单色LED大屏搬移、安装方案以及LCD显示屏的安装方案的描述详细性、合理性等进行横向比较。</w:t>
            </w:r>
            <w:r>
              <w:rPr>
                <w:rFonts w:hint="eastAsia" w:ascii="宋体" w:hAnsi="宋体" w:cs="宋体"/>
                <w:bCs/>
                <w:iCs/>
                <w:szCs w:val="21"/>
              </w:rPr>
              <w:t>未提交方案的，不得分。</w:t>
            </w:r>
          </w:p>
          <w:p>
            <w:pPr>
              <w:snapToGrid w:val="0"/>
              <w:jc w:val="left"/>
              <w:rPr>
                <w:rFonts w:ascii="宋体" w:hAnsi="宋体"/>
                <w:szCs w:val="21"/>
              </w:rPr>
            </w:pPr>
            <w:r>
              <w:rPr>
                <w:rFonts w:hint="eastAsia" w:ascii="宋体" w:hAnsi="宋体" w:cs="宋体"/>
                <w:bCs/>
                <w:iCs/>
                <w:szCs w:val="21"/>
              </w:rPr>
              <w:t>注</w:t>
            </w:r>
            <w:r>
              <w:rPr>
                <w:rFonts w:ascii="宋体" w:hAnsi="宋体" w:cs="宋体"/>
                <w:bCs/>
                <w:iCs/>
                <w:szCs w:val="21"/>
              </w:rPr>
              <w:t>：</w:t>
            </w:r>
            <w:r>
              <w:rPr>
                <w:rFonts w:hint="eastAsia" w:ascii="宋体" w:hAnsi="宋体" w:cs="宋体"/>
                <w:bCs/>
                <w:iCs/>
                <w:szCs w:val="21"/>
              </w:rPr>
              <w:t>投标人</w:t>
            </w:r>
            <w:r>
              <w:rPr>
                <w:rFonts w:ascii="宋体" w:hAnsi="宋体" w:cs="宋体"/>
                <w:bCs/>
                <w:iCs/>
                <w:szCs w:val="21"/>
              </w:rPr>
              <w:t>可根据踏勘情况提供符合招标人实际情况的合理方案</w:t>
            </w:r>
          </w:p>
        </w:tc>
        <w:tc>
          <w:tcPr>
            <w:tcW w:w="1035" w:type="dxa"/>
            <w:vAlign w:val="center"/>
          </w:tcPr>
          <w:p>
            <w:pPr>
              <w:snapToGrid w:val="0"/>
              <w:rPr>
                <w:rFonts w:ascii="宋体" w:hAnsi="宋体"/>
                <w:b/>
                <w:szCs w:val="21"/>
              </w:rPr>
            </w:pPr>
            <w:r>
              <w:rPr>
                <w:rFonts w:hint="eastAsia" w:ascii="宋体" w:hAnsi="宋体"/>
                <w:b/>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vAlign w:val="center"/>
          </w:tcPr>
          <w:p>
            <w:pPr>
              <w:snapToGrid w:val="0"/>
              <w:jc w:val="center"/>
              <w:rPr>
                <w:rFonts w:ascii="宋体" w:hAnsi="宋体"/>
                <w:color w:val="000000"/>
                <w:szCs w:val="21"/>
              </w:rPr>
            </w:pPr>
            <w:r>
              <w:rPr>
                <w:rFonts w:hint="eastAsia" w:ascii="宋体" w:hAnsi="宋体" w:cs="宋体"/>
                <w:sz w:val="22"/>
              </w:rPr>
              <w:t>服务能力及故障响应</w:t>
            </w:r>
          </w:p>
        </w:tc>
        <w:tc>
          <w:tcPr>
            <w:tcW w:w="4995" w:type="dxa"/>
            <w:vAlign w:val="center"/>
          </w:tcPr>
          <w:p>
            <w:pPr>
              <w:snapToGrid w:val="0"/>
              <w:jc w:val="left"/>
              <w:rPr>
                <w:rFonts w:ascii="宋体" w:hAnsi="宋体" w:cs="宋体"/>
                <w:sz w:val="22"/>
              </w:rPr>
            </w:pPr>
            <w:r>
              <w:rPr>
                <w:rFonts w:hint="eastAsia" w:ascii="宋体" w:hAnsi="宋体" w:cs="宋体"/>
                <w:sz w:val="22"/>
              </w:rPr>
              <w:t>具备4小时内响应并到达现场的能力，得2分；</w:t>
            </w:r>
          </w:p>
          <w:p>
            <w:pPr>
              <w:snapToGrid w:val="0"/>
              <w:jc w:val="left"/>
              <w:rPr>
                <w:rFonts w:ascii="宋体" w:hAnsi="宋体" w:cs="宋体"/>
                <w:sz w:val="22"/>
              </w:rPr>
            </w:pPr>
            <w:r>
              <w:rPr>
                <w:rFonts w:hint="eastAsia" w:ascii="宋体" w:hAnsi="宋体" w:cs="宋体"/>
                <w:sz w:val="22"/>
              </w:rPr>
              <w:t>具备8小时内响应并到达现场的能力，得1分；</w:t>
            </w:r>
          </w:p>
          <w:p>
            <w:pPr>
              <w:snapToGrid w:val="0"/>
              <w:jc w:val="left"/>
              <w:rPr>
                <w:rFonts w:ascii="宋体" w:hAnsi="宋体"/>
                <w:color w:val="000000"/>
                <w:szCs w:val="21"/>
              </w:rPr>
            </w:pPr>
            <w:r>
              <w:rPr>
                <w:rFonts w:hint="eastAsia" w:ascii="宋体" w:hAnsi="宋体" w:cs="宋体"/>
                <w:sz w:val="22"/>
              </w:rPr>
              <w:t>超过8小时不得分。</w:t>
            </w:r>
          </w:p>
        </w:tc>
        <w:tc>
          <w:tcPr>
            <w:tcW w:w="1035" w:type="dxa"/>
            <w:vAlign w:val="center"/>
          </w:tcPr>
          <w:p>
            <w:pPr>
              <w:snapToGrid w:val="0"/>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szCs w:val="21"/>
              </w:rPr>
            </w:pPr>
          </w:p>
        </w:tc>
        <w:tc>
          <w:tcPr>
            <w:tcW w:w="1830" w:type="dxa"/>
            <w:vAlign w:val="center"/>
          </w:tcPr>
          <w:p>
            <w:pPr>
              <w:snapToGrid w:val="0"/>
              <w:jc w:val="left"/>
              <w:rPr>
                <w:rFonts w:ascii="宋体" w:hAnsi="宋体"/>
                <w:szCs w:val="21"/>
              </w:rPr>
            </w:pPr>
            <w:r>
              <w:rPr>
                <w:rFonts w:hint="eastAsia" w:ascii="宋体" w:hAnsi="宋体"/>
                <w:szCs w:val="21"/>
              </w:rPr>
              <w:t>业绩</w:t>
            </w:r>
          </w:p>
        </w:tc>
        <w:tc>
          <w:tcPr>
            <w:tcW w:w="4995" w:type="dxa"/>
            <w:vAlign w:val="center"/>
          </w:tcPr>
          <w:p>
            <w:pPr>
              <w:snapToGrid w:val="0"/>
              <w:jc w:val="left"/>
              <w:rPr>
                <w:rFonts w:ascii="宋体" w:hAnsi="宋体"/>
                <w:szCs w:val="21"/>
              </w:rPr>
            </w:pPr>
            <w:r>
              <w:rPr>
                <w:rFonts w:hint="eastAsia" w:ascii="宋体" w:hAnsi="宋体"/>
                <w:szCs w:val="21"/>
              </w:rPr>
              <w:t>投标人近三年（</w:t>
            </w:r>
            <w:r>
              <w:rPr>
                <w:rFonts w:hint="eastAsia" w:ascii="宋体" w:hAnsi="宋体" w:cs="Calibri"/>
                <w:sz w:val="22"/>
              </w:rPr>
              <w:t>合同签订时间或部分供货期在2016年1月1日至投标截止日</w:t>
            </w:r>
            <w:r>
              <w:rPr>
                <w:rFonts w:hint="eastAsia" w:ascii="宋体" w:hAnsi="宋体"/>
                <w:szCs w:val="21"/>
              </w:rPr>
              <w:t>）具有LED大屏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Align w:val="center"/>
          </w:tcPr>
          <w:p>
            <w:pPr>
              <w:snapToGrid w:val="0"/>
              <w:jc w:val="left"/>
              <w:rPr>
                <w:rFonts w:ascii="宋体" w:hAnsi="宋体"/>
                <w:szCs w:val="21"/>
              </w:rPr>
            </w:pPr>
          </w:p>
        </w:tc>
        <w:tc>
          <w:tcPr>
            <w:tcW w:w="1830" w:type="dxa"/>
            <w:vAlign w:val="center"/>
          </w:tcPr>
          <w:p>
            <w:pPr>
              <w:snapToGrid w:val="0"/>
              <w:jc w:val="left"/>
              <w:rPr>
                <w:rFonts w:ascii="宋体" w:hAnsi="宋体"/>
                <w:szCs w:val="21"/>
              </w:rPr>
            </w:pPr>
            <w:r>
              <w:rPr>
                <w:rFonts w:hint="eastAsia" w:ascii="宋体" w:hAnsi="宋体" w:cs="宋体"/>
                <w:szCs w:val="21"/>
              </w:rPr>
              <w:t>质保服务</w:t>
            </w:r>
          </w:p>
        </w:tc>
        <w:tc>
          <w:tcPr>
            <w:tcW w:w="4995" w:type="dxa"/>
            <w:vAlign w:val="center"/>
          </w:tcPr>
          <w:p>
            <w:pPr>
              <w:snapToGrid w:val="0"/>
              <w:jc w:val="left"/>
              <w:rPr>
                <w:rFonts w:ascii="宋体" w:hAnsi="宋体"/>
                <w:szCs w:val="21"/>
              </w:rPr>
            </w:pPr>
            <w:r>
              <w:rPr>
                <w:rFonts w:hint="eastAsia" w:ascii="宋体" w:hAnsi="宋体" w:cs="宋体"/>
                <w:szCs w:val="21"/>
              </w:rPr>
              <w:t>根据投标单位的服务体系、质量保证措施、质保期进行横向比较。</w:t>
            </w:r>
          </w:p>
        </w:tc>
        <w:tc>
          <w:tcPr>
            <w:tcW w:w="1035" w:type="dxa"/>
            <w:vAlign w:val="center"/>
          </w:tcPr>
          <w:p>
            <w:pPr>
              <w:snapToGrid w:val="0"/>
              <w:rPr>
                <w:rFonts w:ascii="宋体" w:hAnsi="宋体"/>
                <w:b/>
                <w:szCs w:val="21"/>
              </w:rPr>
            </w:pPr>
            <w:r>
              <w:rPr>
                <w:rFonts w:hint="eastAsia" w:ascii="宋体" w:hAnsi="宋体"/>
                <w:b/>
                <w:szCs w:val="21"/>
              </w:rPr>
              <w:t>0-</w:t>
            </w:r>
            <w:r>
              <w:rPr>
                <w:rFonts w:ascii="宋体" w:hAnsi="宋体"/>
                <w:b/>
                <w:szCs w:val="21"/>
              </w:rPr>
              <w:t>2</w:t>
            </w:r>
            <w:r>
              <w:rPr>
                <w:rFonts w:hint="eastAsia" w:ascii="宋体" w:hAnsi="宋体"/>
                <w:b/>
                <w:szCs w:val="21"/>
              </w:rPr>
              <w:t>分</w:t>
            </w:r>
          </w:p>
        </w:tc>
      </w:tr>
    </w:tbl>
    <w:p>
      <w:pPr>
        <w:pStyle w:val="4"/>
        <w:adjustRightInd w:val="0"/>
        <w:snapToGrid w:val="0"/>
        <w:spacing w:line="360" w:lineRule="exact"/>
        <w:ind w:firstLine="440" w:firstLineChars="200"/>
        <w:rPr>
          <w:rFonts w:hAnsi="宋体" w:cs="Calibri"/>
          <w:sz w:val="22"/>
          <w:szCs w:val="22"/>
        </w:rPr>
      </w:pPr>
    </w:p>
    <w:p>
      <w:pPr>
        <w:pStyle w:val="4"/>
        <w:adjustRightInd w:val="0"/>
        <w:snapToGrid w:val="0"/>
        <w:spacing w:line="360" w:lineRule="exact"/>
        <w:ind w:firstLine="440" w:firstLineChars="200"/>
        <w:rPr>
          <w:rFonts w:hAnsi="宋体" w:cs="Calibri"/>
          <w:sz w:val="22"/>
          <w:szCs w:val="22"/>
        </w:rPr>
      </w:pPr>
    </w:p>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pStyle w:val="2"/>
        <w:spacing w:before="0" w:after="0"/>
        <w:jc w:val="center"/>
        <w:rPr>
          <w:rFonts w:cs="Calibri"/>
          <w:sz w:val="24"/>
        </w:rPr>
      </w:pPr>
      <w:r>
        <w:br w:type="page"/>
      </w:r>
      <w:bookmarkStart w:id="127" w:name="_Toc14922"/>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7"/>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（1）投标人一般情况及有关证明投标人法律地位的文件（附营业执照、税务登记证、相关产品质量认证证书、相关产品鉴定证书等）。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（3）制造商资格声明。</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（4）设备制造商的授权书（代理商投标时提供）</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（5）投标产品近三年（合同签订时间或部分供货期在2016年1月1日至投标截止日）的销售业绩一览表（附业绩的合同）。六、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b/>
          <w:bCs/>
          <w:color w:val="000000"/>
          <w:sz w:val="22"/>
        </w:rPr>
        <w:t>注：</w:t>
      </w:r>
      <w:r>
        <w:rPr>
          <w:rFonts w:hint="eastAsia" w:ascii="宋体" w:hAnsi="宋体" w:cs="Calibri"/>
          <w:b/>
          <w:bCs/>
          <w:color w:val="FF0000"/>
          <w:sz w:val="22"/>
        </w:rPr>
        <w:t>未提供格式的由投标人自行拟定格式</w:t>
      </w:r>
      <w:r>
        <w:rPr>
          <w:rFonts w:hint="eastAsia" w:ascii="宋体" w:hAnsi="宋体" w:cs="Calibri"/>
          <w:color w:val="000000"/>
          <w:sz w:val="22"/>
        </w:rPr>
        <w:t>。</w:t>
      </w:r>
      <w:r>
        <w:rPr>
          <w:rFonts w:cs="Calibri"/>
        </w:rPr>
        <w:br w:type="page"/>
      </w:r>
      <w:r>
        <w:rPr>
          <w:rFonts w:cs="Calibri"/>
        </w:rPr>
        <w:t>正本（或副本）</w:t>
      </w:r>
    </w:p>
    <w:p>
      <w:pPr>
        <w:spacing w:line="440" w:lineRule="exact"/>
        <w:rPr>
          <w:rFonts w:cs="Calibri"/>
          <w:sz w:val="24"/>
          <w:u w:val="single"/>
        </w:rPr>
      </w:pPr>
      <w:bookmarkStart w:id="128" w:name="_Toc171421958"/>
      <w:r>
        <w:rPr>
          <w:rFonts w:cs="Calibri"/>
        </w:rPr>
        <w:t>封面</w:t>
      </w:r>
      <w:bookmarkEnd w:id="12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我方注册资金符合本项目招标文件资格条件要求。</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r>
        <w:rPr>
          <w:rFonts w:ascii="宋体" w:hAnsi="宋体"/>
          <w:sz w:val="22"/>
        </w:rPr>
        <w:t xml:space="preserve"> </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MLyPXAAAACA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129" w:name="_Toc144265958"/>
      <w:bookmarkStart w:id="130" w:name="_Toc137373398"/>
      <w:bookmarkStart w:id="131" w:name="_Toc133214102"/>
      <w:bookmarkStart w:id="132" w:name="_Toc133214309"/>
      <w:bookmarkStart w:id="133" w:name="_Toc133470542"/>
    </w:p>
    <w:p>
      <w:pPr>
        <w:pStyle w:val="4"/>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4"/>
        <w:spacing w:after="120" w:afterLines="50" w:line="360" w:lineRule="auto"/>
        <w:jc w:val="center"/>
        <w:rPr>
          <w:rFonts w:hAnsi="宋体" w:cs="宋体"/>
        </w:rPr>
      </w:pPr>
    </w:p>
    <w:p>
      <w:pPr>
        <w:pStyle w:val="4"/>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29"/>
    <w:bookmarkEnd w:id="130"/>
    <w:bookmarkEnd w:id="131"/>
    <w:bookmarkEnd w:id="132"/>
    <w:bookmarkEnd w:id="13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14"/>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cs="Calibri"/>
          <w:b/>
          <w:szCs w:val="21"/>
        </w:rPr>
      </w:pPr>
      <w:r>
        <w:rPr>
          <w:rFonts w:hint="eastAsia" w:ascii="宋体" w:hAnsi="宋体" w:cs="宋体"/>
          <w:sz w:val="22"/>
        </w:rPr>
        <w:t>注：1.综合单价包括但不限于产品生产、包装、运至指定地点的运输、装卸、保险、安装、调试及各种税费及所有第三章要求的伴随服务等招标文件规定的全部相关费用；</w:t>
      </w:r>
    </w:p>
    <w:p>
      <w:pPr>
        <w:pStyle w:val="25"/>
        <w:widowControl/>
        <w:numPr>
          <w:ilvl w:val="0"/>
          <w:numId w:val="4"/>
        </w:numPr>
        <w:tabs>
          <w:tab w:val="left" w:pos="284"/>
        </w:tabs>
        <w:adjustRightInd w:val="0"/>
        <w:snapToGrid w:val="0"/>
        <w:spacing w:line="300" w:lineRule="auto"/>
        <w:ind w:firstLineChars="0"/>
        <w:jc w:val="left"/>
        <w:rPr>
          <w:rFonts w:cs="Calibri"/>
          <w:b/>
          <w:szCs w:val="21"/>
        </w:rPr>
      </w:pPr>
      <w:r>
        <w:rPr>
          <w:rFonts w:hint="eastAsia" w:cs="Calibri"/>
          <w:b/>
          <w:szCs w:val="21"/>
        </w:rPr>
        <w:t>投标报价表中应包含第三章采购清单内的设备采购和安装，原单色LED大屏的拆装。若报价表中未列明原单色LED大屏拆装费，则默认包含在总价中。</w:t>
      </w:r>
    </w:p>
    <w:p>
      <w:pPr>
        <w:spacing w:line="440" w:lineRule="exact"/>
        <w:jc w:val="center"/>
        <w:rPr>
          <w:rFonts w:eastAsia="黑体" w:cs="Calibri"/>
          <w:bCs/>
          <w:szCs w:val="21"/>
        </w:rPr>
      </w:pPr>
    </w:p>
    <w:p>
      <w:pPr>
        <w:spacing w:line="440" w:lineRule="exact"/>
        <w:jc w:val="center"/>
        <w:rPr>
          <w:rFonts w:eastAsia="黑体" w:cs="Calibri"/>
          <w:bCs/>
          <w:szCs w:val="21"/>
        </w:rPr>
      </w:pPr>
      <w:r>
        <w:rPr>
          <w:rFonts w:hint="eastAsia" w:eastAsia="黑体" w:cs="Calibri"/>
          <w:bCs/>
          <w:szCs w:val="21"/>
        </w:rPr>
        <w:t>投标人：（盖单位章）</w:t>
      </w:r>
    </w:p>
    <w:p>
      <w:pPr>
        <w:spacing w:line="440" w:lineRule="exact"/>
        <w:jc w:val="center"/>
        <w:rPr>
          <w:rFonts w:eastAsia="黑体" w:cs="Calibri"/>
          <w:bCs/>
          <w:szCs w:val="21"/>
        </w:rPr>
      </w:pPr>
      <w:r>
        <w:rPr>
          <w:rFonts w:hint="eastAsia" w:eastAsia="黑体" w:cs="Calibri"/>
          <w:bCs/>
          <w:szCs w:val="21"/>
        </w:rPr>
        <w:t>法定代表人或其委托代理人：（签字或盖章）</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r>
        <w:rPr>
          <w:rFonts w:hint="eastAsia" w:eastAsia="黑体" w:cs="Calibri"/>
          <w:bCs/>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（二）具有独立法人资格，持有有效营业执照，注册资本300万元（含）以上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投标产品近三年（合同签订时间或部分供货期在2016年1月1日至投标截止日）的销售业绩一览表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numPr>
          <w:ilvl w:val="0"/>
          <w:numId w:val="12"/>
        </w:numPr>
        <w:spacing w:line="440" w:lineRule="exact"/>
        <w:jc w:val="center"/>
        <w:rPr>
          <w:rFonts w:eastAsia="黑体" w:cs="Calibri"/>
          <w:sz w:val="32"/>
          <w:szCs w:val="32"/>
        </w:rPr>
      </w:pPr>
      <w:r>
        <w:rPr>
          <w:rFonts w:hint="eastAsia" w:eastAsia="黑体" w:cs="Calibri"/>
          <w:sz w:val="32"/>
          <w:szCs w:val="32"/>
        </w:rPr>
        <w:t>产品技术规格书</w:t>
      </w:r>
    </w:p>
    <w:p>
      <w:pPr>
        <w:spacing w:line="440" w:lineRule="exact"/>
        <w:jc w:val="center"/>
        <w:rPr>
          <w:rFonts w:eastAsia="黑体" w:cs="Calibri"/>
          <w:sz w:val="32"/>
          <w:szCs w:val="32"/>
        </w:rPr>
      </w:pPr>
      <w:r>
        <w:rPr>
          <w:rFonts w:hint="eastAsia" w:eastAsia="黑体" w:cs="Calibri"/>
          <w:sz w:val="32"/>
          <w:szCs w:val="32"/>
        </w:rPr>
        <w:t xml:space="preserve">                      </w:t>
      </w: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bl>
    <w:p>
      <w:pPr>
        <w:pStyle w:val="4"/>
        <w:adjustRightInd w:val="0"/>
        <w:snapToGrid w:val="0"/>
        <w:rPr>
          <w:rFonts w:hAnsi="宋体"/>
          <w:bCs/>
        </w:rPr>
      </w:pPr>
    </w:p>
    <w:p>
      <w:pPr>
        <w:pStyle w:val="4"/>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7">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DBE2F4E"/>
    <w:multiLevelType w:val="singleLevel"/>
    <w:tmpl w:val="5DBE2F4E"/>
    <w:lvl w:ilvl="0" w:tentative="0">
      <w:start w:val="6"/>
      <w:numFmt w:val="chineseCounting"/>
      <w:suff w:val="nothing"/>
      <w:lvlText w:val="%1、"/>
      <w:lvlJc w:val="left"/>
    </w:lvl>
  </w:abstractNum>
  <w:abstractNum w:abstractNumId="9">
    <w:nsid w:val="5DD390CD"/>
    <w:multiLevelType w:val="singleLevel"/>
    <w:tmpl w:val="5DD390CD"/>
    <w:lvl w:ilvl="0" w:tentative="0">
      <w:start w:val="1"/>
      <w:numFmt w:val="decimal"/>
      <w:suff w:val="nothing"/>
      <w:lvlText w:val="%1."/>
      <w:lvlJc w:val="left"/>
    </w:lvl>
  </w:abstractNum>
  <w:abstractNum w:abstractNumId="10">
    <w:nsid w:val="5DD4DEC2"/>
    <w:multiLevelType w:val="singleLevel"/>
    <w:tmpl w:val="5DD4DEC2"/>
    <w:lvl w:ilvl="0" w:tentative="0">
      <w:start w:val="4"/>
      <w:numFmt w:val="decimal"/>
      <w:suff w:val="nothing"/>
      <w:lvlText w:val="%1）"/>
      <w:lvlJc w:val="left"/>
    </w:lvl>
  </w:abstractNum>
  <w:abstractNum w:abstractNumId="11">
    <w:nsid w:val="5E7922F1"/>
    <w:multiLevelType w:val="multilevel"/>
    <w:tmpl w:val="5E7922F1"/>
    <w:lvl w:ilvl="0" w:tentative="0">
      <w:start w:val="1"/>
      <w:numFmt w:val="decimal"/>
      <w:lvlText w:val="%1."/>
      <w:lvlJc w:val="left"/>
      <w:pPr>
        <w:ind w:left="465" w:hanging="360"/>
      </w:pPr>
      <w:rPr>
        <w:rFonts w:asciiTheme="minorHAnsi" w:hAnsiTheme="minorHAnsi" w:eastAsiaTheme="minorEastAsia" w:cstheme="minorBidi"/>
      </w:rPr>
    </w:lvl>
    <w:lvl w:ilvl="1" w:tentative="0">
      <w:start w:val="3"/>
      <w:numFmt w:val="decimal"/>
      <w:isLgl/>
      <w:lvlText w:val="%1.%2"/>
      <w:lvlJc w:val="left"/>
      <w:pPr>
        <w:ind w:left="495" w:hanging="390"/>
      </w:pPr>
      <w:rPr>
        <w:rFonts w:hint="default" w:ascii="Calibri" w:hAnsi="Calibri"/>
      </w:rPr>
    </w:lvl>
    <w:lvl w:ilvl="2" w:tentative="0">
      <w:start w:val="1"/>
      <w:numFmt w:val="decimal"/>
      <w:isLgl/>
      <w:lvlText w:val="%1.%2.%3"/>
      <w:lvlJc w:val="left"/>
      <w:pPr>
        <w:ind w:left="825" w:hanging="720"/>
      </w:pPr>
      <w:rPr>
        <w:rFonts w:hint="default" w:ascii="Calibri" w:hAnsi="Calibri"/>
      </w:rPr>
    </w:lvl>
    <w:lvl w:ilvl="3" w:tentative="0">
      <w:start w:val="1"/>
      <w:numFmt w:val="decimal"/>
      <w:isLgl/>
      <w:lvlText w:val="%1.%2.%3.%4"/>
      <w:lvlJc w:val="left"/>
      <w:pPr>
        <w:ind w:left="825" w:hanging="720"/>
      </w:pPr>
      <w:rPr>
        <w:rFonts w:hint="default" w:ascii="Calibri" w:hAnsi="Calibri"/>
      </w:rPr>
    </w:lvl>
    <w:lvl w:ilvl="4" w:tentative="0">
      <w:start w:val="1"/>
      <w:numFmt w:val="decimal"/>
      <w:isLgl/>
      <w:lvlText w:val="%1.%2.%3.%4.%5"/>
      <w:lvlJc w:val="left"/>
      <w:pPr>
        <w:ind w:left="1185" w:hanging="1080"/>
      </w:pPr>
      <w:rPr>
        <w:rFonts w:hint="default" w:ascii="Calibri" w:hAnsi="Calibri"/>
      </w:rPr>
    </w:lvl>
    <w:lvl w:ilvl="5" w:tentative="0">
      <w:start w:val="1"/>
      <w:numFmt w:val="decimal"/>
      <w:isLgl/>
      <w:lvlText w:val="%1.%2.%3.%4.%5.%6"/>
      <w:lvlJc w:val="left"/>
      <w:pPr>
        <w:ind w:left="1185" w:hanging="1080"/>
      </w:pPr>
      <w:rPr>
        <w:rFonts w:hint="default" w:ascii="Calibri" w:hAnsi="Calibri"/>
      </w:rPr>
    </w:lvl>
    <w:lvl w:ilvl="6" w:tentative="0">
      <w:start w:val="1"/>
      <w:numFmt w:val="decimal"/>
      <w:isLgl/>
      <w:lvlText w:val="%1.%2.%3.%4.%5.%6.%7"/>
      <w:lvlJc w:val="left"/>
      <w:pPr>
        <w:ind w:left="1545" w:hanging="1440"/>
      </w:pPr>
      <w:rPr>
        <w:rFonts w:hint="default" w:ascii="Calibri" w:hAnsi="Calibri"/>
      </w:rPr>
    </w:lvl>
    <w:lvl w:ilvl="7" w:tentative="0">
      <w:start w:val="1"/>
      <w:numFmt w:val="decimal"/>
      <w:isLgl/>
      <w:lvlText w:val="%1.%2.%3.%4.%5.%6.%7.%8"/>
      <w:lvlJc w:val="left"/>
      <w:pPr>
        <w:ind w:left="1545" w:hanging="1440"/>
      </w:pPr>
      <w:rPr>
        <w:rFonts w:hint="default" w:ascii="Calibri" w:hAnsi="Calibri"/>
      </w:rPr>
    </w:lvl>
    <w:lvl w:ilvl="8" w:tentative="0">
      <w:start w:val="1"/>
      <w:numFmt w:val="decimal"/>
      <w:isLgl/>
      <w:lvlText w:val="%1.%2.%3.%4.%5.%6.%7.%8.%9"/>
      <w:lvlJc w:val="left"/>
      <w:pPr>
        <w:ind w:left="1545" w:hanging="1440"/>
      </w:pPr>
      <w:rPr>
        <w:rFonts w:hint="default" w:ascii="Calibri" w:hAnsi="Calibri"/>
      </w:rPr>
    </w:lvl>
  </w:abstractNum>
  <w:num w:numId="1">
    <w:abstractNumId w:val="1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0"/>
  </w:num>
  <w:num w:numId="7">
    <w:abstractNumId w:val="4"/>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2799F"/>
    <w:rsid w:val="44267BA9"/>
    <w:rsid w:val="50CE3ED0"/>
    <w:rsid w:val="666E6432"/>
    <w:rsid w:val="71F42834"/>
    <w:rsid w:val="79010F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rPr>
      <w:rFonts w:ascii="Times New Roman" w:hAnsi="Times New Roman"/>
      <w:szCs w:val="24"/>
    </w:rPr>
  </w:style>
  <w:style w:type="paragraph" w:styleId="6">
    <w:name w:val="Balloon Text"/>
    <w:basedOn w:val="1"/>
    <w:link w:val="26"/>
    <w:uiPriority w:val="0"/>
    <w:rPr>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2"/>
    <w:next w:val="1"/>
    <w:qFormat/>
    <w:uiPriority w:val="0"/>
    <w:pPr>
      <w:tabs>
        <w:tab w:val="right" w:leader="dot" w:pos="8659"/>
      </w:tabs>
      <w:spacing w:before="0" w:after="0" w:line="240" w:lineRule="auto"/>
      <w:jc w:val="center"/>
    </w:pPr>
    <w:rPr>
      <w:b w:val="0"/>
      <w:sz w:val="21"/>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qFormat/>
    <w:uiPriority w:val="0"/>
    <w:rPr>
      <w:rFonts w:ascii="Calibri" w:hAnsi="Calibri" w:eastAsia="宋体" w:cs="Times New Roman"/>
      <w:lang w:val="en-US" w:eastAsia="zh-CN" w:bidi="ar-SA"/>
    </w:rPr>
  </w:style>
  <w:style w:type="paragraph" w:customStyle="1" w:styleId="15">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6">
    <w:name w:val="样式 标题 1 + (符号) Arial 三号"/>
    <w:basedOn w:val="2"/>
    <w:qFormat/>
    <w:uiPriority w:val="0"/>
    <w:pPr>
      <w:snapToGrid w:val="0"/>
      <w:spacing w:before="0" w:after="0" w:line="360" w:lineRule="auto"/>
    </w:pPr>
    <w:rPr>
      <w:sz w:val="32"/>
    </w:rPr>
  </w:style>
  <w:style w:type="character" w:customStyle="1" w:styleId="17">
    <w:name w:val="zbggmain style9"/>
    <w:qFormat/>
    <w:uiPriority w:val="0"/>
    <w:rPr>
      <w:rFonts w:ascii="Calibri" w:hAnsi="Calibri" w:eastAsia="宋体" w:cs="Times New Roman"/>
      <w:lang w:val="en-US" w:eastAsia="zh-CN" w:bidi="ar-SA"/>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列出段落1"/>
    <w:basedOn w:val="1"/>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20"/>
      <w:szCs w:val="20"/>
      <w:u w:val="none"/>
      <w:lang w:val="en-US" w:eastAsia="zh-CN" w:bidi="ar-SA"/>
    </w:rPr>
  </w:style>
  <w:style w:type="paragraph" w:customStyle="1" w:styleId="21">
    <w:name w:val="a"/>
    <w:basedOn w:val="1"/>
    <w:qFormat/>
    <w:uiPriority w:val="0"/>
    <w:pPr>
      <w:widowControl/>
      <w:spacing w:line="360" w:lineRule="auto"/>
      <w:ind w:firstLine="200"/>
    </w:pPr>
    <w:rPr>
      <w:rFonts w:ascii="Times New Roman" w:hAnsi="Times New Roman"/>
      <w:color w:val="000000"/>
      <w:kern w:val="0"/>
    </w:rPr>
  </w:style>
  <w:style w:type="paragraph" w:customStyle="1" w:styleId="22">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 w:type="paragraph" w:customStyle="1" w:styleId="23">
    <w:name w:val="列出段落2"/>
    <w:basedOn w:val="1"/>
    <w:qFormat/>
    <w:uiPriority w:val="34"/>
    <w:pPr>
      <w:ind w:firstLine="420" w:firstLineChars="200"/>
    </w:pPr>
  </w:style>
  <w:style w:type="character" w:customStyle="1" w:styleId="24">
    <w:name w:val="页眉 字符"/>
    <w:basedOn w:val="12"/>
    <w:link w:val="8"/>
    <w:qFormat/>
    <w:uiPriority w:val="0"/>
    <w:rPr>
      <w:rFonts w:ascii="Times New Roman" w:hAnsi="Times New Roman" w:eastAsia="宋体" w:cs="Times New Roman"/>
      <w:sz w:val="18"/>
      <w:szCs w:val="18"/>
      <w:lang w:val="en-US" w:eastAsia="zh-CN" w:bidi="ar-SA"/>
    </w:rPr>
  </w:style>
  <w:style w:type="paragraph" w:customStyle="1" w:styleId="25">
    <w:name w:val="List Paragraph"/>
    <w:basedOn w:val="1"/>
    <w:uiPriority w:val="99"/>
    <w:pPr>
      <w:ind w:firstLine="420" w:firstLineChars="200"/>
    </w:pPr>
  </w:style>
  <w:style w:type="character" w:customStyle="1" w:styleId="26">
    <w:name w:val="批注框文本 字符"/>
    <w:basedOn w:val="12"/>
    <w:link w:val="6"/>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7197</Words>
  <Characters>41025</Characters>
  <Lines>341</Lines>
  <Paragraphs>96</Paragraphs>
  <ScaleCrop>false</ScaleCrop>
  <LinksUpToDate>false</LinksUpToDate>
  <CharactersWithSpaces>48126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2019-11-06T01:03:00Z</dcterms:created>
  <dc:creator>Administrator</dc:creator>
  <cp:lastModifiedBy>贾思勰</cp:lastModifiedBy>
  <dcterms:modified xsi:type="dcterms:W3CDTF">2020-01-16T07:46:31Z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