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b/>
          <w:w w:val="150"/>
          <w:szCs w:val="21"/>
        </w:rPr>
      </w:pPr>
    </w:p>
    <w:p>
      <w:pPr>
        <w:spacing w:line="360" w:lineRule="auto"/>
        <w:jc w:val="center"/>
        <w:rPr>
          <w:rFonts w:ascii="宋体"/>
          <w:sz w:val="84"/>
          <w:szCs w:val="8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2020年药品及原料工厂短驳项目</w:t>
      </w:r>
    </w:p>
    <w:p>
      <w:pPr>
        <w:spacing w:line="360" w:lineRule="auto"/>
        <w:rPr>
          <w:rFonts w:ascii="方正小标宋简体" w:eastAsia="方正小标宋简体"/>
          <w:sz w:val="44"/>
          <w:szCs w:val="44"/>
        </w:rPr>
      </w:pPr>
    </w:p>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公开招标文件</w:t>
      </w:r>
    </w:p>
    <w:p>
      <w:pPr>
        <w:spacing w:line="360" w:lineRule="auto"/>
        <w:jc w:val="center"/>
        <w:rPr>
          <w:rFonts w:ascii="宋体"/>
          <w:b/>
          <w:w w:val="150"/>
          <w:sz w:val="92"/>
          <w:szCs w:val="84"/>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bookmarkStart w:id="53" w:name="_GoBack"/>
    </w:p>
    <w:p>
      <w:pPr>
        <w:spacing w:line="360" w:lineRule="auto"/>
        <w:jc w:val="center"/>
        <w:rPr>
          <w:rFonts w:ascii="宋体"/>
          <w:b/>
          <w:sz w:val="32"/>
          <w:szCs w:val="32"/>
        </w:rPr>
      </w:pPr>
      <w:r>
        <w:rPr>
          <w:rFonts w:hint="eastAsia" w:ascii="宋体"/>
          <w:b/>
          <w:sz w:val="32"/>
          <w:szCs w:val="32"/>
        </w:rPr>
        <w:t>浙江航空开发有限责任公司</w:t>
      </w:r>
    </w:p>
    <w:bookmarkEnd w:id="53"/>
    <w:p>
      <w:pPr>
        <w:spacing w:line="360" w:lineRule="auto"/>
        <w:jc w:val="center"/>
        <w:rPr>
          <w:rFonts w:ascii="宋体"/>
          <w:b/>
          <w:sz w:val="32"/>
          <w:szCs w:val="32"/>
        </w:rPr>
      </w:pPr>
      <w:r>
        <w:rPr>
          <w:rFonts w:hint="eastAsia" w:ascii="宋体"/>
          <w:b/>
          <w:sz w:val="32"/>
          <w:szCs w:val="32"/>
        </w:rPr>
        <w:t>二〇二〇年一月</w:t>
      </w:r>
    </w:p>
    <w:p>
      <w:pPr>
        <w:spacing w:line="360" w:lineRule="auto"/>
        <w:rPr>
          <w:rFonts w:ascii="宋体"/>
          <w:b/>
          <w:sz w:val="36"/>
          <w:szCs w:val="36"/>
        </w:rPr>
        <w:sectPr>
          <w:footerReference r:id="rId5" w:type="first"/>
          <w:footerReference r:id="rId3" w:type="default"/>
          <w:footerReference r:id="rId4" w:type="even"/>
          <w:pgSz w:w="11906" w:h="16838"/>
          <w:pgMar w:top="1440" w:right="1800" w:bottom="1440" w:left="1800" w:header="851" w:footer="992" w:gutter="0"/>
          <w:cols w:space="720" w:num="1"/>
          <w:docGrid w:type="lines" w:linePitch="312" w:charSpace="0"/>
        </w:sectPr>
      </w:pPr>
    </w:p>
    <w:p>
      <w:pPr>
        <w:spacing w:line="360" w:lineRule="auto"/>
        <w:jc w:val="center"/>
        <w:rPr>
          <w:rFonts w:ascii="宋体"/>
          <w:b/>
          <w:sz w:val="44"/>
          <w:szCs w:val="44"/>
        </w:rPr>
      </w:pPr>
    </w:p>
    <w:p>
      <w:pPr>
        <w:spacing w:line="360" w:lineRule="auto"/>
        <w:jc w:val="center"/>
        <w:rPr>
          <w:rFonts w:ascii="宋体"/>
          <w:b/>
          <w:sz w:val="44"/>
          <w:szCs w:val="44"/>
        </w:rPr>
      </w:pPr>
      <w:r>
        <w:rPr>
          <w:rFonts w:hint="eastAsia" w:ascii="宋体"/>
          <w:b/>
          <w:sz w:val="44"/>
          <w:szCs w:val="44"/>
        </w:rPr>
        <w:t>目录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第一章：公开招标邀请书</w:t>
      </w:r>
    </w:p>
    <w:p>
      <w:pPr>
        <w:spacing w:line="360" w:lineRule="auto"/>
        <w:rPr>
          <w:rFonts w:ascii="宋体"/>
          <w:sz w:val="28"/>
          <w:szCs w:val="28"/>
        </w:rPr>
      </w:pPr>
      <w:r>
        <w:rPr>
          <w:rFonts w:hint="eastAsia" w:ascii="宋体"/>
          <w:sz w:val="28"/>
          <w:szCs w:val="28"/>
        </w:rPr>
        <w:t>第二章：投标人须知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第四章：评标方法及标准</w:t>
      </w:r>
    </w:p>
    <w:p>
      <w:pPr>
        <w:spacing w:line="360" w:lineRule="auto"/>
        <w:rPr>
          <w:rFonts w:ascii="宋体"/>
          <w:sz w:val="28"/>
          <w:szCs w:val="28"/>
        </w:rPr>
      </w:pPr>
      <w:r>
        <w:rPr>
          <w:rFonts w:hint="eastAsia" w:ascii="宋体"/>
          <w:sz w:val="28"/>
          <w:szCs w:val="28"/>
        </w:rPr>
        <w:t>第五章：投标文件格式</w:t>
      </w:r>
    </w:p>
    <w:p>
      <w:pPr>
        <w:spacing w:line="360" w:lineRule="auto"/>
        <w:jc w:val="center"/>
        <w:rPr>
          <w:rFonts w:ascii="宋体"/>
          <w:b/>
          <w:sz w:val="28"/>
          <w:szCs w:val="28"/>
        </w:rPr>
      </w:pPr>
      <w:bookmarkStart w:id="0" w:name="_Toc152042295"/>
      <w:bookmarkStart w:id="1" w:name="_Toc144974487"/>
      <w:bookmarkStart w:id="2" w:name="_Toc152045519"/>
      <w:bookmarkStart w:id="3" w:name="_Toc179632536"/>
    </w:p>
    <w:p>
      <w:pPr>
        <w:spacing w:line="360" w:lineRule="auto"/>
        <w:jc w:val="center"/>
        <w:rPr>
          <w:rFonts w:ascii="宋体"/>
          <w:b/>
          <w:sz w:val="28"/>
          <w:szCs w:val="28"/>
        </w:rPr>
      </w:pPr>
    </w:p>
    <w:p>
      <w:pPr>
        <w:spacing w:line="360" w:lineRule="auto"/>
        <w:jc w:val="center"/>
        <w:rPr>
          <w:rFonts w:ascii="宋体"/>
          <w:b/>
          <w:sz w:val="28"/>
          <w:szCs w:val="28"/>
        </w:rPr>
      </w:pPr>
    </w:p>
    <w:p>
      <w:pPr>
        <w:spacing w:line="360" w:lineRule="auto"/>
        <w:jc w:val="center"/>
        <w:rPr>
          <w:rFonts w:ascii="宋体"/>
          <w:b/>
          <w:sz w:val="28"/>
          <w:szCs w:val="28"/>
        </w:rPr>
      </w:pPr>
    </w:p>
    <w:p>
      <w:pPr>
        <w:spacing w:line="360" w:lineRule="auto"/>
        <w:jc w:val="center"/>
        <w:rPr>
          <w:rFonts w:ascii="宋体"/>
          <w:b/>
          <w:sz w:val="28"/>
          <w:szCs w:val="28"/>
        </w:rPr>
      </w:pPr>
    </w:p>
    <w:p>
      <w:pPr>
        <w:spacing w:line="360" w:lineRule="auto"/>
        <w:jc w:val="center"/>
        <w:rPr>
          <w:rFonts w:ascii="宋体"/>
          <w:b/>
          <w:sz w:val="28"/>
          <w:szCs w:val="28"/>
        </w:rPr>
      </w:pPr>
    </w:p>
    <w:p>
      <w:pPr>
        <w:spacing w:line="360" w:lineRule="auto"/>
        <w:jc w:val="center"/>
        <w:rPr>
          <w:rFonts w:ascii="宋体"/>
          <w:b/>
          <w:sz w:val="28"/>
          <w:szCs w:val="28"/>
        </w:rPr>
      </w:pPr>
    </w:p>
    <w:p>
      <w:pPr>
        <w:widowControl/>
        <w:jc w:val="left"/>
        <w:rPr>
          <w:rFonts w:ascii="宋体"/>
          <w:b/>
          <w:sz w:val="28"/>
          <w:szCs w:val="28"/>
        </w:rPr>
      </w:pPr>
      <w:r>
        <w:rPr>
          <w:rFonts w:ascii="宋体"/>
          <w:b/>
          <w:sz w:val="28"/>
          <w:szCs w:val="28"/>
        </w:rPr>
        <w:br w:type="page"/>
      </w:r>
    </w:p>
    <w:p>
      <w:pPr>
        <w:spacing w:line="360" w:lineRule="auto"/>
        <w:jc w:val="center"/>
        <w:rPr>
          <w:rFonts w:ascii="宋体"/>
          <w:b/>
          <w:sz w:val="44"/>
          <w:szCs w:val="44"/>
        </w:rPr>
      </w:pPr>
      <w:r>
        <w:rPr>
          <w:rFonts w:hint="eastAsia" w:ascii="宋体"/>
          <w:b/>
          <w:sz w:val="44"/>
          <w:szCs w:val="44"/>
        </w:rPr>
        <w:t>第一章：公开招标邀请书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52045520"/>
      <w:bookmarkStart w:id="5" w:name="_Toc152042296"/>
      <w:bookmarkStart w:id="6" w:name="_Toc144974488"/>
      <w:bookmarkStart w:id="7" w:name="_Toc179632537"/>
      <w:r>
        <w:rPr>
          <w:rFonts w:hint="eastAsia" w:ascii="宋体"/>
          <w:b/>
          <w:sz w:val="24"/>
        </w:rPr>
        <w:t>1</w:t>
      </w:r>
      <w:r>
        <w:rPr>
          <w:rFonts w:ascii="宋体"/>
          <w:b/>
          <w:sz w:val="24"/>
        </w:rPr>
        <w:t xml:space="preserve">. </w:t>
      </w:r>
      <w:r>
        <w:rPr>
          <w:rFonts w:hint="eastAsia" w:ascii="宋体"/>
          <w:b/>
          <w:sz w:val="24"/>
        </w:rPr>
        <w:t>项目概况与公开招标范围</w:t>
      </w:r>
      <w:bookmarkEnd w:id="4"/>
      <w:bookmarkEnd w:id="5"/>
      <w:bookmarkEnd w:id="6"/>
      <w:bookmarkEnd w:id="7"/>
    </w:p>
    <w:p>
      <w:pPr>
        <w:spacing w:line="360" w:lineRule="auto"/>
        <w:ind w:firstLine="420" w:firstLineChars="200"/>
        <w:rPr>
          <w:rFonts w:ascii="宋体"/>
          <w:szCs w:val="21"/>
        </w:rPr>
      </w:pPr>
      <w:r>
        <w:rPr>
          <w:rFonts w:hint="eastAsia" w:ascii="宋体"/>
          <w:szCs w:val="21"/>
        </w:rPr>
        <w:t>本项目为浙江航空开发有限责任公司承接的第三方制药客户工厂与仓库间短驳业务，</w:t>
      </w:r>
    </w:p>
    <w:p>
      <w:pPr>
        <w:spacing w:line="360" w:lineRule="auto"/>
        <w:ind w:left="1418" w:leftChars="200" w:hanging="998" w:hangingChars="475"/>
        <w:rPr>
          <w:rFonts w:ascii="宋体"/>
          <w:szCs w:val="21"/>
        </w:rPr>
      </w:pPr>
      <w:r>
        <w:rPr>
          <w:rFonts w:hint="eastAsia" w:ascii="宋体"/>
          <w:szCs w:val="21"/>
        </w:rPr>
        <w:t>业务内容：将位于下沙工厂生产的成品驳运至位于临江的仓库，再将位于临江的仓库的原料及半成品驳运至位于下沙的工厂（无需装卸）。</w:t>
      </w:r>
    </w:p>
    <w:p>
      <w:pPr>
        <w:spacing w:line="360" w:lineRule="auto"/>
        <w:ind w:left="1418" w:leftChars="200" w:hanging="998" w:hangingChars="475"/>
        <w:rPr>
          <w:rFonts w:ascii="宋体"/>
          <w:szCs w:val="21"/>
        </w:rPr>
      </w:pPr>
      <w:r>
        <w:rPr>
          <w:rFonts w:hint="eastAsia" w:ascii="宋体"/>
          <w:szCs w:val="21"/>
        </w:rPr>
        <w:t>服务线路：杭州下沙经济开发区与杭州大江东临江工业园区之间。</w:t>
      </w:r>
    </w:p>
    <w:p>
      <w:pPr>
        <w:spacing w:line="360" w:lineRule="auto"/>
        <w:ind w:left="1418" w:leftChars="200" w:hanging="998" w:hangingChars="475"/>
        <w:rPr>
          <w:rFonts w:ascii="宋体"/>
          <w:szCs w:val="21"/>
        </w:rPr>
      </w:pPr>
      <w:r>
        <w:rPr>
          <w:rFonts w:hint="eastAsia" w:ascii="宋体"/>
          <w:szCs w:val="21"/>
        </w:rPr>
        <w:t>主要设备及人员：车头2台，车挂4个，司机2名。</w:t>
      </w:r>
    </w:p>
    <w:p>
      <w:pPr>
        <w:spacing w:line="360" w:lineRule="auto"/>
        <w:ind w:firstLine="420"/>
        <w:jc w:val="left"/>
        <w:rPr>
          <w:rFonts w:ascii="宋体"/>
          <w:szCs w:val="21"/>
        </w:rPr>
      </w:pPr>
      <w:r>
        <w:rPr>
          <w:rFonts w:hint="eastAsia" w:ascii="宋体"/>
          <w:szCs w:val="21"/>
        </w:rPr>
        <w:t>具体行车路线及设备情况，请在应标前联系我司项目联系人，尽早做好现场踏勘。</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投标单位资格要求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投标单位必须是具有独立承担民事责任能力的中华人民共和国境内注册的法人；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具有独立法人资格，注册资金不少于人民币1000万元；</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应具有中华人民共和国道路运输经营许可证。需提供许可证复印件并加盖投标人公章作为证明材料；</w:t>
      </w:r>
    </w:p>
    <w:p>
      <w:pPr>
        <w:spacing w:line="360" w:lineRule="auto"/>
        <w:rPr>
          <w:rFonts w:ascii="宋体"/>
          <w:szCs w:val="21"/>
        </w:rPr>
      </w:pPr>
      <w:r>
        <w:rPr>
          <w:rFonts w:hint="eastAsia" w:ascii="宋体"/>
          <w:szCs w:val="21"/>
        </w:rPr>
        <w:t>2</w:t>
      </w:r>
      <w:r>
        <w:rPr>
          <w:rFonts w:ascii="宋体"/>
          <w:szCs w:val="21"/>
        </w:rPr>
        <w:t>.4</w:t>
      </w:r>
      <w:r>
        <w:rPr>
          <w:rFonts w:hint="eastAsia" w:ascii="宋体"/>
          <w:szCs w:val="21"/>
        </w:rPr>
        <w:t>能独立承担民事责任和履行合同能力，具有良好的商业信誉和健全的财务会计管理制度，有依法缴纳税收和社会保障资金的良好记录，在本次招标前三年内的经营活动中没有重大违法记录和不良记录。</w:t>
      </w:r>
    </w:p>
    <w:p>
      <w:pPr>
        <w:spacing w:line="360" w:lineRule="auto"/>
        <w:rPr>
          <w:rFonts w:ascii="宋体"/>
          <w:szCs w:val="21"/>
        </w:rPr>
      </w:pPr>
      <w:r>
        <w:rPr>
          <w:rFonts w:hint="eastAsia" w:ascii="宋体"/>
          <w:szCs w:val="21"/>
        </w:rPr>
        <w:t>2</w:t>
      </w:r>
      <w:r>
        <w:rPr>
          <w:rFonts w:ascii="宋体"/>
          <w:szCs w:val="21"/>
        </w:rPr>
        <w:t>.</w:t>
      </w:r>
      <w:r>
        <w:rPr>
          <w:rFonts w:hint="eastAsia" w:ascii="宋体"/>
          <w:szCs w:val="21"/>
        </w:rPr>
        <w:t>5本项目不接受联合体投标；</w:t>
      </w:r>
    </w:p>
    <w:p>
      <w:pPr>
        <w:spacing w:line="360" w:lineRule="auto"/>
        <w:rPr>
          <w:rFonts w:ascii="宋体" w:hAnsi="宋体"/>
          <w:lang w:val="zh-CN"/>
        </w:rPr>
      </w:pPr>
      <w:r>
        <w:rPr>
          <w:rFonts w:hint="eastAsia" w:ascii="宋体"/>
          <w:szCs w:val="21"/>
        </w:rPr>
        <w:t>2</w:t>
      </w:r>
      <w:r>
        <w:rPr>
          <w:rFonts w:ascii="宋体"/>
          <w:szCs w:val="21"/>
        </w:rPr>
        <w:t>.</w:t>
      </w:r>
      <w:r>
        <w:rPr>
          <w:rFonts w:hint="eastAsia" w:ascii="宋体"/>
          <w:szCs w:val="21"/>
        </w:rPr>
        <w:t>6</w:t>
      </w:r>
      <w:r>
        <w:rPr>
          <w:rFonts w:hint="eastAsia" w:ascii="宋体" w:hAnsi="宋体"/>
          <w:lang w:val="zh-CN"/>
        </w:rPr>
        <w:t>投标单位应从事医药物流10年以上运作经验，具备三年以上的全球50强医药企业合作经验（提供合同或相关证明）；</w:t>
      </w:r>
    </w:p>
    <w:p>
      <w:pPr>
        <w:spacing w:line="360" w:lineRule="auto"/>
        <w:rPr>
          <w:rFonts w:ascii="宋体"/>
          <w:szCs w:val="21"/>
        </w:rPr>
      </w:pPr>
      <w:r>
        <w:rPr>
          <w:rFonts w:hint="eastAsia" w:ascii="宋体" w:hAnsi="宋体"/>
          <w:lang w:val="zh-CN"/>
        </w:rPr>
        <w:t>2.7投标单位应确保其已购买，并将在服务提供过程中维持足以覆盖因履行招标人委托的物流服务中所产生的任何潜在损失或损害的所有必要保险。</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公开招标文件的获取</w:t>
      </w:r>
      <w:bookmarkStart w:id="8" w:name="_Toc152042299"/>
      <w:bookmarkStart w:id="9" w:name="_Toc152045523"/>
      <w:bookmarkStart w:id="10" w:name="_Toc144974491"/>
      <w:bookmarkStart w:id="11" w:name="_Toc179632540"/>
    </w:p>
    <w:p>
      <w:pPr>
        <w:spacing w:line="360" w:lineRule="auto"/>
        <w:rPr>
          <w:rFonts w:ascii="宋体"/>
          <w:color w:val="FF0000"/>
          <w:szCs w:val="21"/>
        </w:rPr>
      </w:pPr>
      <w:r>
        <w:rPr>
          <w:rFonts w:hint="eastAsia" w:ascii="宋体"/>
          <w:color w:val="FF0000"/>
          <w:szCs w:val="21"/>
        </w:rPr>
        <w:t>本次招标公告在中国采购与招标网和杭州萧山机场有限公司主页上发布</w:t>
      </w:r>
    </w:p>
    <w:p>
      <w:pPr>
        <w:spacing w:line="360" w:lineRule="auto"/>
        <w:rPr>
          <w:rFonts w:ascii="宋体"/>
          <w:color w:val="FF0000"/>
          <w:szCs w:val="21"/>
        </w:rPr>
      </w:pPr>
      <w:r>
        <w:rPr>
          <w:rFonts w:hint="eastAsia" w:ascii="宋体"/>
          <w:color w:val="FF0000"/>
          <w:szCs w:val="21"/>
        </w:rPr>
        <w:t>中国采购与招标网  http://www.chinabidding.com.cn</w:t>
      </w:r>
    </w:p>
    <w:p>
      <w:pPr>
        <w:spacing w:line="360" w:lineRule="auto"/>
        <w:rPr>
          <w:rFonts w:ascii="宋体"/>
          <w:color w:val="FF0000"/>
          <w:szCs w:val="21"/>
        </w:rPr>
      </w:pPr>
      <w:r>
        <w:rPr>
          <w:rFonts w:hint="eastAsia" w:ascii="宋体"/>
          <w:color w:val="FF0000"/>
          <w:szCs w:val="21"/>
        </w:rPr>
        <w:t>杭州萧山机场有限公司主页http://www.hzairport.com</w:t>
      </w:r>
    </w:p>
    <w:p>
      <w:pPr>
        <w:spacing w:line="360" w:lineRule="auto"/>
        <w:rPr>
          <w:rFonts w:ascii="宋体"/>
          <w:szCs w:val="21"/>
        </w:rPr>
      </w:pPr>
      <w:r>
        <w:rPr>
          <w:rFonts w:hint="eastAsia" w:ascii="宋体"/>
          <w:szCs w:val="21"/>
        </w:rPr>
        <w:t>公开招标文件下载</w:t>
      </w:r>
    </w:p>
    <w:p>
      <w:pPr>
        <w:spacing w:line="360" w:lineRule="auto"/>
        <w:rPr>
          <w:rFonts w:ascii="宋体"/>
          <w:b/>
          <w:sz w:val="24"/>
        </w:rPr>
      </w:pPr>
      <w:r>
        <w:rPr>
          <w:rFonts w:hint="eastAsia" w:ascii="宋体"/>
          <w:b/>
          <w:sz w:val="24"/>
        </w:rPr>
        <w:t>4、现场踏勘</w:t>
      </w:r>
    </w:p>
    <w:p>
      <w:pPr>
        <w:spacing w:line="360" w:lineRule="auto"/>
        <w:rPr>
          <w:rFonts w:ascii="宋体"/>
          <w:szCs w:val="21"/>
        </w:rPr>
      </w:pPr>
      <w:r>
        <w:rPr>
          <w:rFonts w:hint="eastAsia" w:ascii="宋体"/>
          <w:szCs w:val="21"/>
        </w:rPr>
        <w:t>联系人：王舒平   联系电话：</w:t>
      </w:r>
      <w:r>
        <w:rPr>
          <w:rFonts w:ascii="宋体"/>
          <w:szCs w:val="21"/>
        </w:rPr>
        <w:t>0571-8666</w:t>
      </w:r>
      <w:r>
        <w:rPr>
          <w:rFonts w:hint="eastAsia" w:ascii="宋体"/>
          <w:szCs w:val="21"/>
        </w:rPr>
        <w:t>2449</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投标文件的递交</w:t>
      </w:r>
      <w:bookmarkEnd w:id="8"/>
      <w:bookmarkEnd w:id="9"/>
      <w:bookmarkEnd w:id="10"/>
      <w:bookmarkEnd w:id="11"/>
    </w:p>
    <w:p>
      <w:pPr>
        <w:spacing w:line="360" w:lineRule="auto"/>
        <w:rPr>
          <w:rFonts w:ascii="宋体"/>
          <w:szCs w:val="21"/>
        </w:rPr>
      </w:pPr>
      <w:bookmarkStart w:id="12" w:name="_Toc144974493"/>
      <w:bookmarkStart w:id="13" w:name="_Toc152045525"/>
      <w:bookmarkStart w:id="14" w:name="_Toc179632542"/>
      <w:bookmarkStart w:id="15" w:name="_Toc152042301"/>
      <w:r>
        <w:rPr>
          <w:rFonts w:ascii="宋体"/>
          <w:szCs w:val="21"/>
        </w:rPr>
        <w:t>5.1</w:t>
      </w:r>
      <w:r>
        <w:rPr>
          <w:rFonts w:hint="eastAsia" w:ascii="宋体"/>
          <w:b/>
          <w:szCs w:val="21"/>
        </w:rPr>
        <w:t>若委派专人投送的：</w:t>
      </w:r>
      <w:r>
        <w:rPr>
          <w:rFonts w:hint="eastAsia" w:ascii="宋体"/>
          <w:szCs w:val="21"/>
        </w:rPr>
        <w:t>将投标文件送至杭州萧山国际机场翔越路综合服务楼园区招标中心（翔飞路与12号路交叉口西北50米），逾期无效；</w:t>
      </w:r>
    </w:p>
    <w:p>
      <w:pPr>
        <w:spacing w:line="360" w:lineRule="auto"/>
        <w:rPr>
          <w:rFonts w:ascii="宋体"/>
          <w:szCs w:val="21"/>
        </w:rPr>
      </w:pPr>
      <w:r>
        <w:rPr>
          <w:rFonts w:hint="eastAsia" w:ascii="宋体"/>
          <w:szCs w:val="21"/>
        </w:rPr>
        <w:t>5.2</w:t>
      </w:r>
      <w:r>
        <w:rPr>
          <w:rFonts w:hint="eastAsia" w:ascii="宋体"/>
          <w:b/>
          <w:szCs w:val="21"/>
        </w:rPr>
        <w:t>若采用投递方式的：</w:t>
      </w:r>
      <w:r>
        <w:rPr>
          <w:rFonts w:hint="eastAsia" w:ascii="宋体"/>
          <w:szCs w:val="21"/>
        </w:rPr>
        <w:t>投递至杭州萧山国际机场物流公司招标办（萧山机场货站A区A2234办公室，联系人：王剑，联系电话：0571-86665070），逾期无效；</w:t>
      </w:r>
    </w:p>
    <w:p>
      <w:pPr>
        <w:spacing w:line="360" w:lineRule="auto"/>
        <w:rPr>
          <w:rFonts w:ascii="宋体"/>
          <w:szCs w:val="21"/>
        </w:rPr>
      </w:pPr>
      <w:r>
        <w:rPr>
          <w:rFonts w:hint="eastAsia" w:ascii="宋体"/>
          <w:szCs w:val="21"/>
        </w:rPr>
        <w:t>5.3投标咨询人：王舒平      联系电话：0571-86662449</w:t>
      </w:r>
    </w:p>
    <w:p>
      <w:pPr>
        <w:spacing w:line="360" w:lineRule="auto"/>
        <w:rPr>
          <w:rFonts w:ascii="宋体"/>
          <w:szCs w:val="21"/>
        </w:rPr>
      </w:pPr>
      <w:r>
        <w:rPr>
          <w:rFonts w:hint="eastAsia" w:ascii="宋体"/>
          <w:szCs w:val="21"/>
        </w:rPr>
        <w:t>5.4投标方应将投标文件用信封密封，并在封皮上标明项目名称，所有投标文件和信封均须由投标方盖</w:t>
      </w:r>
    </w:p>
    <w:p>
      <w:pPr>
        <w:spacing w:line="360" w:lineRule="auto"/>
        <w:rPr>
          <w:rFonts w:ascii="宋体"/>
          <w:szCs w:val="21"/>
        </w:rPr>
      </w:pPr>
      <w:r>
        <w:rPr>
          <w:rFonts w:ascii="宋体"/>
          <w:szCs w:val="21"/>
        </w:rPr>
        <w:t>5.</w:t>
      </w:r>
      <w:r>
        <w:rPr>
          <w:rFonts w:hint="eastAsia" w:ascii="宋体"/>
          <w:szCs w:val="21"/>
        </w:rPr>
        <w:t>5投标截止日期：</w:t>
      </w:r>
      <w:r>
        <w:rPr>
          <w:rFonts w:hint="eastAsia" w:ascii="宋体" w:hAnsi="宋体" w:cs="宋体"/>
          <w:color w:val="000000"/>
          <w:kern w:val="0"/>
          <w:szCs w:val="21"/>
        </w:rPr>
        <w:t>2020年02月10日9时00分</w:t>
      </w:r>
      <w:r>
        <w:rPr>
          <w:rFonts w:hint="eastAsia" w:ascii="宋体"/>
          <w:szCs w:val="21"/>
        </w:rPr>
        <w:t>（北京时间）</w:t>
      </w:r>
    </w:p>
    <w:p>
      <w:pPr>
        <w:spacing w:line="360" w:lineRule="auto"/>
        <w:rPr>
          <w:rFonts w:ascii="宋体"/>
          <w:b/>
          <w:sz w:val="24"/>
        </w:rPr>
      </w:pPr>
      <w:r>
        <w:rPr>
          <w:rFonts w:hint="eastAsia" w:ascii="宋体"/>
          <w:b/>
          <w:sz w:val="24"/>
        </w:rPr>
        <w:t>6</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技术联系人：王舒平        联系电话：0571-86662449</w:t>
      </w:r>
    </w:p>
    <w:p>
      <w:pPr>
        <w:spacing w:line="360" w:lineRule="auto"/>
        <w:rPr>
          <w:rFonts w:ascii="宋体"/>
          <w:szCs w:val="21"/>
        </w:rPr>
      </w:pPr>
      <w:r>
        <w:rPr>
          <w:rFonts w:hint="eastAsia" w:ascii="宋体"/>
          <w:szCs w:val="21"/>
        </w:rPr>
        <w:t>招标监督人：张钰婧        联系电话：</w:t>
      </w:r>
      <w:r>
        <w:rPr>
          <w:rFonts w:ascii="宋体"/>
          <w:szCs w:val="21"/>
        </w:rPr>
        <w:t>0571-8666</w:t>
      </w:r>
      <w:r>
        <w:rPr>
          <w:rFonts w:hint="eastAsia" w:ascii="宋体"/>
          <w:szCs w:val="21"/>
        </w:rPr>
        <w:t>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widowControl/>
        <w:jc w:val="left"/>
        <w:rPr>
          <w:rFonts w:ascii="宋体"/>
          <w:szCs w:val="21"/>
        </w:rPr>
      </w:pPr>
      <w:r>
        <w:rPr>
          <w:rFonts w:ascii="宋体"/>
          <w:szCs w:val="21"/>
        </w:rPr>
        <w:br w:type="page"/>
      </w: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第二章：投标人须知</w:t>
      </w:r>
    </w:p>
    <w:p>
      <w:pPr>
        <w:spacing w:line="360" w:lineRule="auto"/>
        <w:rPr>
          <w:rFonts w:ascii="宋体"/>
          <w:b/>
          <w:sz w:val="24"/>
        </w:rPr>
      </w:pPr>
      <w:r>
        <w:rPr>
          <w:rFonts w:hint="eastAsia" w:ascii="宋体"/>
          <w:b/>
          <w:sz w:val="24"/>
        </w:rPr>
        <w:t>投标人须知前附表</w:t>
      </w:r>
    </w:p>
    <w:tbl>
      <w:tblPr>
        <w:tblStyle w:val="24"/>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7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2448" w:type="dxa"/>
            <w:vAlign w:val="center"/>
          </w:tcPr>
          <w:p>
            <w:pPr>
              <w:spacing w:line="360" w:lineRule="auto"/>
              <w:rPr>
                <w:rFonts w:ascii="宋体"/>
                <w:szCs w:val="21"/>
              </w:rPr>
            </w:pPr>
            <w:r>
              <w:rPr>
                <w:rFonts w:hint="eastAsia" w:ascii="宋体"/>
                <w:szCs w:val="21"/>
              </w:rPr>
              <w:t>项目名称</w:t>
            </w:r>
          </w:p>
        </w:tc>
        <w:tc>
          <w:tcPr>
            <w:tcW w:w="7122" w:type="dxa"/>
            <w:vAlign w:val="center"/>
          </w:tcPr>
          <w:p>
            <w:pPr>
              <w:spacing w:line="360" w:lineRule="auto"/>
              <w:rPr>
                <w:rFonts w:ascii="宋体"/>
                <w:szCs w:val="21"/>
              </w:rPr>
            </w:pPr>
            <w:r>
              <w:rPr>
                <w:rFonts w:hint="eastAsia" w:ascii="宋体"/>
                <w:szCs w:val="21"/>
              </w:rPr>
              <w:t>2020年药品及原料工厂短驳项目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448" w:type="dxa"/>
            <w:vAlign w:val="center"/>
          </w:tcPr>
          <w:p>
            <w:pPr>
              <w:spacing w:line="360" w:lineRule="auto"/>
              <w:rPr>
                <w:rFonts w:ascii="宋体"/>
                <w:szCs w:val="21"/>
              </w:rPr>
            </w:pPr>
            <w:r>
              <w:rPr>
                <w:rFonts w:hint="eastAsia" w:ascii="宋体"/>
                <w:szCs w:val="21"/>
              </w:rPr>
              <w:t>投标人资格要求</w:t>
            </w:r>
          </w:p>
        </w:tc>
        <w:tc>
          <w:tcPr>
            <w:tcW w:w="7122" w:type="dxa"/>
            <w:vAlign w:val="center"/>
          </w:tcPr>
          <w:p>
            <w:pPr>
              <w:spacing w:line="360" w:lineRule="auto"/>
              <w:rPr>
                <w:rFonts w:ascii="宋体"/>
                <w:szCs w:val="21"/>
              </w:rPr>
            </w:pPr>
            <w:r>
              <w:rPr>
                <w:rFonts w:hint="eastAsia" w:ascii="宋体"/>
                <w:szCs w:val="21"/>
              </w:rPr>
              <w:t>2.1投标单位必须是具有独立承担民事责任能力的中华人民共和国境内注册的法人；</w:t>
            </w:r>
          </w:p>
          <w:p>
            <w:pPr>
              <w:spacing w:line="360" w:lineRule="auto"/>
              <w:rPr>
                <w:rFonts w:ascii="宋体"/>
                <w:szCs w:val="21"/>
              </w:rPr>
            </w:pPr>
            <w:r>
              <w:rPr>
                <w:rFonts w:hint="eastAsia" w:ascii="宋体"/>
                <w:szCs w:val="21"/>
              </w:rPr>
              <w:t>2.2具有独立法人资格，注册资金不少于人民币1000万元；</w:t>
            </w:r>
          </w:p>
          <w:p>
            <w:pPr>
              <w:spacing w:line="360" w:lineRule="auto"/>
              <w:rPr>
                <w:rFonts w:ascii="宋体"/>
                <w:szCs w:val="21"/>
              </w:rPr>
            </w:pPr>
            <w:r>
              <w:rPr>
                <w:rFonts w:hint="eastAsia" w:ascii="宋体"/>
                <w:szCs w:val="21"/>
              </w:rPr>
              <w:t>2.3应具有中华人民共和国道路运输经营许可证。需提供许可证复印件并加盖投标人公章作为证明材料；</w:t>
            </w:r>
          </w:p>
          <w:p>
            <w:pPr>
              <w:spacing w:line="360" w:lineRule="auto"/>
              <w:rPr>
                <w:rFonts w:ascii="宋体"/>
                <w:szCs w:val="21"/>
              </w:rPr>
            </w:pPr>
            <w:r>
              <w:rPr>
                <w:rFonts w:hint="eastAsia" w:ascii="宋体"/>
                <w:szCs w:val="21"/>
              </w:rPr>
              <w:t>2.4能独立承担民事责任和履行合同能力，具有良好的商业信誉和健全的财务会计管理制度，有依法缴纳税收和社会保障资金的良好记录，在本次招标前三年内的经营活动中没有重大违法记录和不良记录。</w:t>
            </w:r>
          </w:p>
          <w:p>
            <w:pPr>
              <w:spacing w:line="360" w:lineRule="auto"/>
              <w:rPr>
                <w:rFonts w:ascii="宋体"/>
                <w:szCs w:val="21"/>
              </w:rPr>
            </w:pPr>
            <w:r>
              <w:rPr>
                <w:rFonts w:hint="eastAsia" w:ascii="宋体"/>
                <w:szCs w:val="21"/>
              </w:rPr>
              <w:t>2.5本项目不接受联合体投标；</w:t>
            </w:r>
          </w:p>
          <w:p>
            <w:pPr>
              <w:spacing w:line="360" w:lineRule="auto"/>
              <w:rPr>
                <w:rFonts w:ascii="宋体"/>
                <w:szCs w:val="21"/>
              </w:rPr>
            </w:pPr>
            <w:r>
              <w:rPr>
                <w:rFonts w:hint="eastAsia" w:ascii="宋体"/>
                <w:szCs w:val="21"/>
              </w:rPr>
              <w:t>2.6投标单位应从事医药物流10年以上运作经验，具备三年以上的全球50强医药企业合作经验（提供合同或相关证明）；</w:t>
            </w:r>
          </w:p>
          <w:p>
            <w:pPr>
              <w:spacing w:line="360" w:lineRule="auto"/>
              <w:rPr>
                <w:rFonts w:ascii="宋体"/>
                <w:szCs w:val="21"/>
              </w:rPr>
            </w:pPr>
            <w:r>
              <w:rPr>
                <w:rFonts w:hint="eastAsia" w:ascii="宋体"/>
                <w:szCs w:val="21"/>
              </w:rPr>
              <w:t>2.7投标单位应确保其已购买，并将在服务提供过程中维持足以覆盖因履行招标人委托的物流服务中所产生的任何潜在损失或损害的所有必要保险。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448" w:type="dxa"/>
            <w:vAlign w:val="center"/>
          </w:tcPr>
          <w:p>
            <w:pPr>
              <w:spacing w:line="360" w:lineRule="auto"/>
              <w:rPr>
                <w:rFonts w:ascii="宋体"/>
                <w:szCs w:val="21"/>
              </w:rPr>
            </w:pPr>
            <w:r>
              <w:rPr>
                <w:rFonts w:hint="eastAsia" w:ascii="宋体"/>
                <w:szCs w:val="21"/>
              </w:rPr>
              <w:t>合同有效期</w:t>
            </w:r>
          </w:p>
        </w:tc>
        <w:tc>
          <w:tcPr>
            <w:tcW w:w="7122" w:type="dxa"/>
            <w:vAlign w:val="center"/>
          </w:tcPr>
          <w:p>
            <w:pPr>
              <w:spacing w:line="360" w:lineRule="auto"/>
              <w:rPr>
                <w:rFonts w:ascii="宋体"/>
                <w:szCs w:val="21"/>
              </w:rPr>
            </w:pPr>
            <w:r>
              <w:rPr>
                <w:rFonts w:hint="eastAsia" w:ascii="宋体"/>
                <w:szCs w:val="21"/>
              </w:rPr>
              <w:t>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448" w:type="dxa"/>
            <w:vAlign w:val="center"/>
          </w:tcPr>
          <w:p>
            <w:pPr>
              <w:spacing w:line="360" w:lineRule="auto"/>
              <w:rPr>
                <w:rFonts w:ascii="宋体"/>
                <w:szCs w:val="21"/>
              </w:rPr>
            </w:pPr>
            <w:r>
              <w:rPr>
                <w:rFonts w:hint="eastAsia" w:ascii="宋体"/>
                <w:szCs w:val="21"/>
              </w:rPr>
              <w:t>资源投入：</w:t>
            </w:r>
          </w:p>
        </w:tc>
        <w:tc>
          <w:tcPr>
            <w:tcW w:w="7122" w:type="dxa"/>
            <w:vAlign w:val="center"/>
          </w:tcPr>
          <w:p>
            <w:pPr>
              <w:spacing w:line="360" w:lineRule="auto"/>
              <w:rPr>
                <w:rFonts w:ascii="宋体"/>
                <w:szCs w:val="21"/>
              </w:rPr>
            </w:pPr>
            <w:r>
              <w:rPr>
                <w:rFonts w:hint="eastAsia" w:ascii="宋体"/>
                <w:szCs w:val="21"/>
              </w:rPr>
              <w:t>2个车头、4个车挂、2名司机；</w:t>
            </w:r>
          </w:p>
          <w:p>
            <w:pPr>
              <w:spacing w:line="360" w:lineRule="auto"/>
              <w:rPr>
                <w:rFonts w:ascii="宋体"/>
                <w:szCs w:val="21"/>
              </w:rPr>
            </w:pPr>
            <w:r>
              <w:rPr>
                <w:rFonts w:hint="eastAsia" w:ascii="宋体"/>
                <w:szCs w:val="21"/>
              </w:rPr>
              <w:t>按合同规定线路进行运输；</w:t>
            </w:r>
          </w:p>
          <w:p>
            <w:pPr>
              <w:spacing w:line="360" w:lineRule="auto"/>
              <w:rPr>
                <w:rFonts w:ascii="宋体"/>
                <w:szCs w:val="21"/>
              </w:rPr>
            </w:pPr>
            <w:r>
              <w:rPr>
                <w:rFonts w:hint="eastAsia" w:ascii="宋体"/>
                <w:szCs w:val="21"/>
              </w:rPr>
              <w:t>厢式车（普通/冷链），车厢</w:t>
            </w:r>
            <w:r>
              <w:rPr>
                <w:rFonts w:hint="eastAsia" w:ascii="宋体"/>
                <w:b/>
                <w:szCs w:val="21"/>
              </w:rPr>
              <w:t>内尺寸</w:t>
            </w:r>
            <w:r>
              <w:rPr>
                <w:rFonts w:hint="eastAsia" w:ascii="宋体"/>
                <w:szCs w:val="21"/>
              </w:rPr>
              <w:t>：12m*2.45m*2.45（长*宽*高），车厢采用后双开门并设置保险挡杆用于工厂安全挂钩链接；</w:t>
            </w:r>
          </w:p>
          <w:p>
            <w:pPr>
              <w:spacing w:line="360" w:lineRule="auto"/>
              <w:rPr>
                <w:rFonts w:ascii="宋体"/>
                <w:szCs w:val="21"/>
              </w:rPr>
            </w:pPr>
            <w:r>
              <w:rPr>
                <w:rFonts w:hint="eastAsia" w:ascii="宋体"/>
                <w:szCs w:val="21"/>
              </w:rPr>
              <w:t>短驳车应该满足干净、整洁、无污染、全封闭、防雨防盗的要求，车辆地板及箱体光滑、平整、不变形；</w:t>
            </w:r>
          </w:p>
          <w:p>
            <w:pPr>
              <w:spacing w:line="360" w:lineRule="auto"/>
              <w:rPr>
                <w:rFonts w:ascii="宋体"/>
                <w:szCs w:val="21"/>
              </w:rPr>
            </w:pPr>
            <w:r>
              <w:rPr>
                <w:rFonts w:hint="eastAsia" w:ascii="宋体"/>
                <w:szCs w:val="21"/>
              </w:rPr>
              <w:t>短驳车车厢与门之间需设置防虫网；</w:t>
            </w:r>
          </w:p>
          <w:p>
            <w:pPr>
              <w:spacing w:line="360" w:lineRule="auto"/>
              <w:rPr>
                <w:rFonts w:ascii="宋体"/>
                <w:szCs w:val="21"/>
              </w:rPr>
            </w:pPr>
            <w:r>
              <w:rPr>
                <w:rFonts w:hint="eastAsia" w:ascii="宋体"/>
                <w:szCs w:val="21"/>
              </w:rPr>
              <w:t>车厢内需要有固定用防滑围网。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448" w:type="dxa"/>
            <w:vAlign w:val="center"/>
          </w:tcPr>
          <w:p>
            <w:pPr>
              <w:spacing w:line="360" w:lineRule="auto"/>
              <w:rPr>
                <w:rFonts w:ascii="宋体"/>
                <w:szCs w:val="21"/>
              </w:rPr>
            </w:pPr>
            <w:r>
              <w:rPr>
                <w:rFonts w:hint="eastAsia" w:ascii="宋体"/>
                <w:szCs w:val="21"/>
              </w:rPr>
              <w:t>投标答疑</w:t>
            </w:r>
          </w:p>
        </w:tc>
        <w:tc>
          <w:tcPr>
            <w:tcW w:w="7122" w:type="dxa"/>
            <w:vAlign w:val="center"/>
          </w:tcPr>
          <w:p>
            <w:pPr>
              <w:spacing w:line="360" w:lineRule="auto"/>
              <w:rPr>
                <w:rFonts w:ascii="宋体"/>
                <w:szCs w:val="21"/>
              </w:rPr>
            </w:pPr>
            <w:r>
              <w:rPr>
                <w:rFonts w:hint="eastAsia" w:ascii="宋体"/>
                <w:szCs w:val="21"/>
              </w:rPr>
              <w:t>各投标单位对公开招标文件如有疑问，请于2020年2月10日</w:t>
            </w:r>
            <w:r>
              <w:fldChar w:fldCharType="begin"/>
            </w:r>
            <w:r>
              <w:instrText xml:space="preserve"> HYPERLINK "mailto:以前以电子文本方式发送至邮箱：" </w:instrText>
            </w:r>
            <w:r>
              <w:fldChar w:fldCharType="separate"/>
            </w:r>
            <w:r>
              <w:rPr>
                <w:rStyle w:val="22"/>
                <w:rFonts w:hint="eastAsia" w:ascii="宋体"/>
                <w:color w:val="auto"/>
                <w:szCs w:val="21"/>
                <w:u w:val="none"/>
              </w:rPr>
              <w:t>以前以电子文本方式发送至邮箱：</w:t>
            </w:r>
            <w:r>
              <w:rPr>
                <w:rStyle w:val="22"/>
                <w:rFonts w:hint="eastAsia" w:ascii="宋体"/>
                <w:color w:val="auto"/>
                <w:szCs w:val="21"/>
                <w:u w:val="none"/>
              </w:rPr>
              <w:fldChar w:fldCharType="end"/>
            </w:r>
            <w:r>
              <w:rPr>
                <w:rStyle w:val="22"/>
                <w:rFonts w:hint="eastAsia" w:ascii="宋体"/>
                <w:color w:val="auto"/>
                <w:szCs w:val="21"/>
                <w:u w:val="none"/>
              </w:rPr>
              <w:t>wangshuping@hzairport.com</w:t>
            </w:r>
            <w:r>
              <w:rPr>
                <w:rFonts w:hint="eastAsia" w:ascii="宋体"/>
                <w:szCs w:val="21"/>
              </w:rPr>
              <w:t>。公开招标方将以书面形式统一答复。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448" w:type="dxa"/>
            <w:vAlign w:val="center"/>
          </w:tcPr>
          <w:p>
            <w:pPr>
              <w:spacing w:line="360" w:lineRule="auto"/>
              <w:rPr>
                <w:rFonts w:ascii="宋体"/>
                <w:szCs w:val="21"/>
              </w:rPr>
            </w:pPr>
            <w:r>
              <w:rPr>
                <w:rFonts w:hint="eastAsia" w:ascii="宋体"/>
                <w:szCs w:val="21"/>
              </w:rPr>
              <w:t>踏勘现场</w:t>
            </w:r>
          </w:p>
        </w:tc>
        <w:tc>
          <w:tcPr>
            <w:tcW w:w="7122" w:type="dxa"/>
            <w:vAlign w:val="center"/>
          </w:tcPr>
          <w:p>
            <w:pPr>
              <w:spacing w:line="360" w:lineRule="auto"/>
              <w:rPr>
                <w:rFonts w:ascii="宋体"/>
                <w:szCs w:val="21"/>
              </w:rPr>
            </w:pPr>
            <w:r>
              <w:rPr>
                <w:rFonts w:hint="eastAsia" w:ascii="宋体"/>
                <w:szCs w:val="21"/>
              </w:rPr>
              <w:t>联系人：王舒平   联系电话：0571-86662449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448" w:type="dxa"/>
            <w:vAlign w:val="center"/>
          </w:tcPr>
          <w:p>
            <w:pPr>
              <w:spacing w:line="360" w:lineRule="auto"/>
              <w:rPr>
                <w:rFonts w:ascii="宋体"/>
                <w:szCs w:val="21"/>
              </w:rPr>
            </w:pPr>
            <w:r>
              <w:rPr>
                <w:rFonts w:hint="eastAsia" w:ascii="宋体"/>
                <w:szCs w:val="21"/>
              </w:rPr>
              <w:t>投标文件份数</w:t>
            </w:r>
          </w:p>
        </w:tc>
        <w:tc>
          <w:tcPr>
            <w:tcW w:w="7122" w:type="dxa"/>
            <w:vAlign w:val="center"/>
          </w:tcPr>
          <w:p>
            <w:pPr>
              <w:spacing w:line="360" w:lineRule="auto"/>
              <w:rPr>
                <w:rFonts w:ascii="宋体"/>
                <w:szCs w:val="21"/>
              </w:rPr>
            </w:pPr>
            <w:r>
              <w:rPr>
                <w:rFonts w:hint="eastAsia" w:ascii="宋体"/>
                <w:color w:val="FF0000"/>
                <w:szCs w:val="21"/>
              </w:rPr>
              <w:t>正本一份，副本二份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2448" w:type="dxa"/>
            <w:vAlign w:val="center"/>
          </w:tcPr>
          <w:p>
            <w:pPr>
              <w:spacing w:line="360" w:lineRule="auto"/>
              <w:rPr>
                <w:rFonts w:ascii="宋体"/>
                <w:szCs w:val="21"/>
              </w:rPr>
            </w:pPr>
            <w:r>
              <w:rPr>
                <w:rFonts w:hint="eastAsia" w:ascii="宋体"/>
                <w:szCs w:val="21"/>
              </w:rPr>
              <w:t>签字或盖章要求</w:t>
            </w:r>
          </w:p>
        </w:tc>
        <w:tc>
          <w:tcPr>
            <w:tcW w:w="7122" w:type="dxa"/>
            <w:vAlign w:val="center"/>
          </w:tcPr>
          <w:p>
            <w:pPr>
              <w:spacing w:line="360" w:lineRule="auto"/>
              <w:rPr>
                <w:rFonts w:ascii="宋体"/>
                <w:szCs w:val="21"/>
              </w:rPr>
            </w:pPr>
            <w:r>
              <w:rPr>
                <w:rFonts w:hint="eastAsia" w:ascii="宋体"/>
                <w:szCs w:val="21"/>
              </w:rPr>
              <w:t>投标文件封面（或扉页）、投标函以及各类报价表均须加盖投标人单位章，并经法定代表人（或其委托代理人）签字或盖章。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2448" w:type="dxa"/>
            <w:vAlign w:val="center"/>
          </w:tcPr>
          <w:p>
            <w:pPr>
              <w:spacing w:line="360" w:lineRule="auto"/>
              <w:rPr>
                <w:rFonts w:ascii="宋体"/>
                <w:szCs w:val="21"/>
              </w:rPr>
            </w:pPr>
            <w:r>
              <w:rPr>
                <w:rFonts w:hint="eastAsia" w:ascii="宋体"/>
                <w:szCs w:val="21"/>
              </w:rPr>
              <w:t>封套上写明</w:t>
            </w:r>
          </w:p>
        </w:tc>
        <w:tc>
          <w:tcPr>
            <w:tcW w:w="7122" w:type="dxa"/>
            <w:vAlign w:val="center"/>
          </w:tcPr>
          <w:p>
            <w:pPr>
              <w:spacing w:line="360" w:lineRule="auto"/>
              <w:rPr>
                <w:rFonts w:ascii="宋体"/>
                <w:szCs w:val="21"/>
              </w:rPr>
            </w:pPr>
            <w:r>
              <w:rPr>
                <w:rFonts w:hint="eastAsia" w:ascii="宋体"/>
                <w:szCs w:val="21"/>
              </w:rPr>
              <w:t>招标人的地址：杭州萧山国际机场内</w:t>
            </w:r>
          </w:p>
          <w:p>
            <w:pPr>
              <w:spacing w:line="360" w:lineRule="auto"/>
              <w:rPr>
                <w:rFonts w:ascii="宋体"/>
                <w:szCs w:val="21"/>
              </w:rPr>
            </w:pPr>
            <w:r>
              <w:rPr>
                <w:rFonts w:hint="eastAsia" w:ascii="宋体"/>
                <w:szCs w:val="21"/>
              </w:rPr>
              <w:t>招标人名称：浙江航空开发有限责任公司</w:t>
            </w:r>
          </w:p>
          <w:p>
            <w:pPr>
              <w:spacing w:line="360" w:lineRule="auto"/>
              <w:rPr>
                <w:rFonts w:ascii="宋体"/>
                <w:szCs w:val="21"/>
              </w:rPr>
            </w:pPr>
            <w:r>
              <w:rPr>
                <w:rFonts w:hint="eastAsia" w:ascii="宋体"/>
                <w:szCs w:val="21"/>
              </w:rPr>
              <w:t>项目名称：浙江航空开发有限责任公司2020年药品及原料工厂短驳项目</w:t>
            </w:r>
          </w:p>
          <w:p>
            <w:pPr>
              <w:spacing w:line="360" w:lineRule="auto"/>
              <w:rPr>
                <w:rFonts w:ascii="宋体"/>
                <w:szCs w:val="21"/>
              </w:rPr>
            </w:pPr>
            <w:r>
              <w:rPr>
                <w:rFonts w:hint="eastAsia" w:ascii="宋体"/>
                <w:szCs w:val="21"/>
              </w:rPr>
              <w:t>在</w:t>
            </w:r>
            <w:r>
              <w:rPr>
                <w:rFonts w:hint="eastAsia" w:ascii="宋体" w:hAnsi="宋体" w:cs="宋体"/>
                <w:color w:val="000000"/>
                <w:kern w:val="0"/>
                <w:szCs w:val="21"/>
              </w:rPr>
              <w:t>2020年02月10日9时00分</w:t>
            </w:r>
            <w:r>
              <w:rPr>
                <w:rFonts w:hint="eastAsia" w:ascii="宋体"/>
                <w:szCs w:val="21"/>
              </w:rPr>
              <w:t>（北京时间）（即开标时间）前不得开启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2448" w:type="dxa"/>
            <w:vAlign w:val="center"/>
          </w:tcPr>
          <w:p>
            <w:pPr>
              <w:spacing w:line="360" w:lineRule="auto"/>
              <w:rPr>
                <w:rFonts w:ascii="宋体"/>
                <w:szCs w:val="21"/>
              </w:rPr>
            </w:pPr>
            <w:r>
              <w:rPr>
                <w:rFonts w:hint="eastAsia" w:ascii="宋体"/>
                <w:szCs w:val="21"/>
              </w:rPr>
              <w:t>投标提交地点</w:t>
            </w:r>
          </w:p>
        </w:tc>
        <w:tc>
          <w:tcPr>
            <w:tcW w:w="7122" w:type="dxa"/>
            <w:vAlign w:val="center"/>
          </w:tcPr>
          <w:p>
            <w:pPr>
              <w:spacing w:line="360" w:lineRule="auto"/>
              <w:rPr>
                <w:rFonts w:ascii="宋体"/>
                <w:szCs w:val="21"/>
              </w:rPr>
            </w:pPr>
            <w:r>
              <w:rPr>
                <w:rFonts w:hint="eastAsia" w:ascii="宋体"/>
                <w:szCs w:val="21"/>
              </w:rPr>
              <w:t>5.1若委派专人投送的：将投标文件送至杭州萧山国际机场翔越路综合服务楼园区招标中心（翔飞路与12号路交叉口西北50米），逾期无效；</w:t>
            </w:r>
          </w:p>
          <w:p>
            <w:pPr>
              <w:spacing w:line="360" w:lineRule="auto"/>
              <w:rPr>
                <w:rFonts w:ascii="宋体"/>
                <w:szCs w:val="21"/>
              </w:rPr>
            </w:pPr>
            <w:r>
              <w:rPr>
                <w:rFonts w:hint="eastAsia" w:ascii="宋体"/>
                <w:szCs w:val="21"/>
              </w:rPr>
              <w:t>5.2若采用投递方式的：投递至杭州萧山国际机场物流公司招标办（萧山机场货站A区A2234办公室，联系人：王剑，联系电话：0571-86665070），逾期无效；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448" w:type="dxa"/>
            <w:vAlign w:val="center"/>
          </w:tcPr>
          <w:p>
            <w:pPr>
              <w:spacing w:line="360" w:lineRule="auto"/>
              <w:rPr>
                <w:rFonts w:ascii="宋体"/>
                <w:szCs w:val="21"/>
              </w:rPr>
            </w:pPr>
            <w:r>
              <w:rPr>
                <w:rFonts w:hint="eastAsia" w:ascii="宋体"/>
                <w:szCs w:val="21"/>
              </w:rPr>
              <w:t>投标文件提交截止时间</w:t>
            </w:r>
          </w:p>
        </w:tc>
        <w:tc>
          <w:tcPr>
            <w:tcW w:w="7122" w:type="dxa"/>
            <w:vAlign w:val="center"/>
          </w:tcPr>
          <w:p>
            <w:pPr>
              <w:spacing w:line="360" w:lineRule="auto"/>
              <w:rPr>
                <w:rFonts w:ascii="宋体"/>
                <w:szCs w:val="21"/>
              </w:rPr>
            </w:pPr>
            <w:r>
              <w:rPr>
                <w:rFonts w:hint="eastAsia" w:ascii="宋体" w:hAnsi="宋体" w:cs="宋体"/>
                <w:color w:val="000000"/>
                <w:kern w:val="0"/>
                <w:szCs w:val="21"/>
              </w:rPr>
              <w:t>2020年02月10日9时00分</w:t>
            </w:r>
            <w:r>
              <w:rPr>
                <w:rFonts w:hint="eastAsia" w:ascii="宋体"/>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448" w:type="dxa"/>
            <w:vAlign w:val="center"/>
          </w:tcPr>
          <w:p>
            <w:pPr>
              <w:spacing w:line="360" w:lineRule="auto"/>
              <w:rPr>
                <w:rFonts w:ascii="宋体"/>
                <w:szCs w:val="21"/>
              </w:rPr>
            </w:pPr>
            <w:r>
              <w:rPr>
                <w:rFonts w:hint="eastAsia" w:ascii="宋体"/>
                <w:szCs w:val="21"/>
              </w:rPr>
              <w:t>开标地点</w:t>
            </w:r>
          </w:p>
        </w:tc>
        <w:tc>
          <w:tcPr>
            <w:tcW w:w="7122" w:type="dxa"/>
            <w:vAlign w:val="center"/>
          </w:tcPr>
          <w:p>
            <w:pPr>
              <w:spacing w:line="360" w:lineRule="auto"/>
              <w:rPr>
                <w:rFonts w:ascii="宋体"/>
                <w:szCs w:val="21"/>
              </w:rPr>
            </w:pPr>
            <w:r>
              <w:rPr>
                <w:rFonts w:hint="eastAsia" w:ascii="宋体"/>
                <w:szCs w:val="21"/>
              </w:rPr>
              <w:t>杭州萧山国际机场翔越路综合服务楼园区招标中心（翔飞路与12号路交叉口西北50米）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448" w:type="dxa"/>
            <w:vAlign w:val="center"/>
          </w:tcPr>
          <w:p>
            <w:pPr>
              <w:spacing w:line="360" w:lineRule="auto"/>
              <w:rPr>
                <w:rFonts w:ascii="宋体"/>
                <w:szCs w:val="21"/>
              </w:rPr>
            </w:pPr>
            <w:r>
              <w:rPr>
                <w:rFonts w:ascii="宋体" w:hAnsi="宋体" w:cs="Calibri"/>
                <w:kern w:val="0"/>
                <w:sz w:val="22"/>
              </w:rPr>
              <w:t>开标程序</w:t>
            </w:r>
          </w:p>
        </w:tc>
        <w:tc>
          <w:tcPr>
            <w:tcW w:w="7122"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密封情况检查：由投标人或者其集体推选的代表检查投标文件的密封情况。</w:t>
            </w:r>
          </w:p>
          <w:p>
            <w:pPr>
              <w:spacing w:line="360" w:lineRule="auto"/>
              <w:rPr>
                <w:rFonts w:ascii="宋体"/>
                <w:szCs w:val="21"/>
              </w:rPr>
            </w:pPr>
            <w:r>
              <w:rPr>
                <w:rFonts w:ascii="宋体" w:hAnsi="宋体" w:cs="Calibri"/>
                <w:kern w:val="0"/>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448" w:type="dxa"/>
            <w:vAlign w:val="center"/>
          </w:tcPr>
          <w:p>
            <w:pPr>
              <w:spacing w:line="360" w:lineRule="auto"/>
              <w:rPr>
                <w:rFonts w:ascii="宋体" w:hAnsi="宋体" w:cs="Calibri"/>
                <w:kern w:val="0"/>
                <w:sz w:val="22"/>
              </w:rPr>
            </w:pPr>
            <w:r>
              <w:rPr>
                <w:rFonts w:ascii="宋体" w:hAnsi="宋体" w:cs="Calibri"/>
                <w:kern w:val="0"/>
                <w:sz w:val="22"/>
              </w:rPr>
              <w:t>评标委员会的组建</w:t>
            </w:r>
          </w:p>
        </w:tc>
        <w:tc>
          <w:tcPr>
            <w:tcW w:w="7122"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评标委员会构成：3人及以上单数</w:t>
            </w:r>
          </w:p>
          <w:p>
            <w:pPr>
              <w:autoSpaceDE w:val="0"/>
              <w:autoSpaceDN w:val="0"/>
              <w:adjustRightInd w:val="0"/>
              <w:snapToGrid w:val="0"/>
              <w:rPr>
                <w:rFonts w:ascii="宋体" w:hAnsi="宋体" w:cs="Calibri"/>
                <w:kern w:val="0"/>
                <w:sz w:val="22"/>
              </w:rPr>
            </w:pPr>
            <w:r>
              <w:rPr>
                <w:rFonts w:hint="eastAsia" w:ascii="宋体" w:hAnsi="宋体" w:cs="Calibri"/>
                <w:kern w:val="0"/>
                <w:sz w:val="22"/>
              </w:rPr>
              <w:t>评标专家确定方式：评标委员会成员由招标人评标专家库中抽选的专家组成。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448" w:type="dxa"/>
            <w:vAlign w:val="center"/>
          </w:tcPr>
          <w:p>
            <w:pPr>
              <w:spacing w:line="360" w:lineRule="auto"/>
              <w:rPr>
                <w:rFonts w:ascii="宋体"/>
                <w:szCs w:val="21"/>
              </w:rPr>
            </w:pPr>
            <w:r>
              <w:rPr>
                <w:rFonts w:hint="eastAsia" w:ascii="宋体"/>
                <w:szCs w:val="21"/>
              </w:rPr>
              <w:t>公开招标有效期</w:t>
            </w:r>
          </w:p>
        </w:tc>
        <w:tc>
          <w:tcPr>
            <w:tcW w:w="7122" w:type="dxa"/>
            <w:vAlign w:val="center"/>
          </w:tcPr>
          <w:p>
            <w:pPr>
              <w:spacing w:line="360" w:lineRule="auto"/>
              <w:rPr>
                <w:rFonts w:ascii="宋体"/>
                <w:szCs w:val="21"/>
              </w:rPr>
            </w:pPr>
            <w:r>
              <w:rPr>
                <w:rFonts w:hint="eastAsia" w:ascii="宋体"/>
                <w:szCs w:val="21"/>
              </w:rPr>
              <w:t>投标截止后</w:t>
            </w:r>
            <w:r>
              <w:rPr>
                <w:rFonts w:ascii="宋体"/>
                <w:szCs w:val="21"/>
              </w:rPr>
              <w:t>90</w:t>
            </w:r>
            <w:r>
              <w:rPr>
                <w:rFonts w:hint="eastAsia" w:ascii="宋体"/>
                <w:szCs w:val="21"/>
              </w:rPr>
              <w:t>日历天内有效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448" w:type="dxa"/>
            <w:vAlign w:val="center"/>
          </w:tcPr>
          <w:p>
            <w:pPr>
              <w:spacing w:line="360" w:lineRule="auto"/>
              <w:rPr>
                <w:rFonts w:ascii="宋体"/>
                <w:szCs w:val="21"/>
              </w:rPr>
            </w:pPr>
            <w:r>
              <w:rPr>
                <w:rFonts w:hint="eastAsia" w:ascii="宋体"/>
                <w:szCs w:val="21"/>
              </w:rPr>
              <w:t>评标办法</w:t>
            </w:r>
          </w:p>
        </w:tc>
        <w:tc>
          <w:tcPr>
            <w:tcW w:w="7122" w:type="dxa"/>
            <w:vAlign w:val="center"/>
          </w:tcPr>
          <w:p>
            <w:pPr>
              <w:spacing w:line="360" w:lineRule="auto"/>
              <w:rPr>
                <w:rFonts w:ascii="宋体"/>
                <w:szCs w:val="21"/>
              </w:rPr>
            </w:pPr>
            <w:r>
              <w:rPr>
                <w:rFonts w:hint="eastAsia" w:ascii="宋体"/>
                <w:szCs w:val="21"/>
              </w:rPr>
              <w:t>经评审的最低投标价法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2448" w:type="dxa"/>
            <w:vAlign w:val="center"/>
          </w:tcPr>
          <w:p>
            <w:pPr>
              <w:spacing w:line="360" w:lineRule="auto"/>
              <w:rPr>
                <w:rFonts w:ascii="宋体"/>
                <w:szCs w:val="21"/>
              </w:rPr>
            </w:pPr>
            <w:r>
              <w:rPr>
                <w:rFonts w:hint="eastAsia" w:ascii="宋体"/>
                <w:szCs w:val="21"/>
              </w:rPr>
              <w:t>投标价计算方法</w:t>
            </w:r>
          </w:p>
        </w:tc>
        <w:tc>
          <w:tcPr>
            <w:tcW w:w="7122" w:type="dxa"/>
            <w:vAlign w:val="center"/>
          </w:tcPr>
          <w:p>
            <w:pPr>
              <w:rPr>
                <w:rFonts w:ascii="宋体"/>
              </w:rPr>
            </w:pPr>
            <w:r>
              <w:rPr>
                <w:rFonts w:hint="eastAsia" w:ascii="宋体"/>
                <w:szCs w:val="21"/>
              </w:rPr>
              <w:t>投标总价=“</w:t>
            </w:r>
            <w:r>
              <w:rPr>
                <w:rFonts w:hint="eastAsia" w:ascii="宋体"/>
              </w:rPr>
              <w:t>20吨拖车固定使用费”*2+“</w:t>
            </w:r>
            <w:r>
              <w:rPr>
                <w:rFonts w:hint="eastAsia" w:ascii="宋体" w:hAnsi="宋体" w:cs="宋体"/>
                <w:kern w:val="0"/>
                <w:sz w:val="22"/>
                <w:szCs w:val="22"/>
              </w:rPr>
              <w:t>厢式挂车固定使用费”*4+“人员费用”*2+“变动费用”*220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448" w:type="dxa"/>
            <w:vAlign w:val="center"/>
          </w:tcPr>
          <w:p>
            <w:pPr>
              <w:spacing w:line="360" w:lineRule="auto"/>
              <w:rPr>
                <w:rFonts w:ascii="宋体"/>
                <w:szCs w:val="21"/>
              </w:rPr>
            </w:pPr>
            <w:r>
              <w:rPr>
                <w:rFonts w:hint="eastAsia" w:ascii="宋体"/>
                <w:szCs w:val="21"/>
              </w:rPr>
              <w:t>联系方式</w:t>
            </w:r>
          </w:p>
        </w:tc>
        <w:tc>
          <w:tcPr>
            <w:tcW w:w="7122" w:type="dxa"/>
            <w:vAlign w:val="center"/>
          </w:tcPr>
          <w:p>
            <w:pPr>
              <w:spacing w:line="360" w:lineRule="auto"/>
              <w:rPr>
                <w:rFonts w:ascii="宋体"/>
                <w:szCs w:val="21"/>
              </w:rPr>
            </w:pPr>
            <w:r>
              <w:rPr>
                <w:rFonts w:hint="eastAsia" w:ascii="宋体"/>
                <w:szCs w:val="21"/>
              </w:rPr>
              <w:t>技术联系人：王舒平        联系电话：0571-86662449</w:t>
            </w:r>
          </w:p>
          <w:p>
            <w:pPr>
              <w:spacing w:line="360" w:lineRule="auto"/>
              <w:rPr>
                <w:rFonts w:ascii="宋体"/>
                <w:szCs w:val="21"/>
              </w:rPr>
            </w:pPr>
            <w:r>
              <w:rPr>
                <w:rFonts w:hint="eastAsia" w:ascii="宋体"/>
                <w:szCs w:val="21"/>
              </w:rPr>
              <w:t>招标监督人：张钰婧        联系电话：</w:t>
            </w:r>
            <w:r>
              <w:rPr>
                <w:rFonts w:ascii="宋体"/>
                <w:szCs w:val="21"/>
              </w:rPr>
              <w:t>0571-8666</w:t>
            </w:r>
            <w:r>
              <w:rPr>
                <w:rFonts w:hint="eastAsia" w:ascii="宋体"/>
                <w:szCs w:val="21"/>
              </w:rPr>
              <w:t>8598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9570" w:type="dxa"/>
            <w:gridSpan w:val="2"/>
            <w:vAlign w:val="center"/>
          </w:tcPr>
          <w:p>
            <w:pPr>
              <w:spacing w:line="360" w:lineRule="auto"/>
              <w:jc w:val="center"/>
              <w:rPr>
                <w:rFonts w:ascii="宋体"/>
                <w:szCs w:val="21"/>
              </w:rPr>
            </w:pPr>
            <w:r>
              <w:rPr>
                <w:rFonts w:ascii="宋体" w:hAnsi="宋体" w:cs="Calibri"/>
                <w:kern w:val="0"/>
                <w:sz w:val="22"/>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448" w:type="dxa"/>
            <w:vAlign w:val="center"/>
          </w:tcPr>
          <w:p>
            <w:pPr>
              <w:pStyle w:val="17"/>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7122" w:type="dxa"/>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448" w:type="dxa"/>
            <w:vAlign w:val="center"/>
          </w:tcPr>
          <w:p>
            <w:pPr>
              <w:pStyle w:val="17"/>
            </w:pPr>
            <w:r>
              <w:rPr>
                <w:rFonts w:hint="eastAsia"/>
              </w:rPr>
              <w:t>备注</w:t>
            </w:r>
          </w:p>
        </w:tc>
        <w:tc>
          <w:tcPr>
            <w:tcW w:w="7122" w:type="dxa"/>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spacing w:line="360" w:lineRule="auto"/>
        <w:rPr>
          <w:rFonts w:ascii="宋体"/>
          <w:b/>
          <w:sz w:val="28"/>
          <w:szCs w:val="28"/>
        </w:rPr>
      </w:pPr>
    </w:p>
    <w:p>
      <w:pPr>
        <w:widowControl/>
        <w:jc w:val="left"/>
        <w:rPr>
          <w:rFonts w:ascii="宋体"/>
          <w:b/>
          <w:sz w:val="28"/>
          <w:szCs w:val="28"/>
        </w:rPr>
      </w:pPr>
      <w:r>
        <w:rPr>
          <w:rFonts w:ascii="宋体"/>
          <w:b/>
          <w:sz w:val="28"/>
          <w:szCs w:val="28"/>
        </w:rPr>
        <w:br w:type="page"/>
      </w:r>
    </w:p>
    <w:p>
      <w:pPr>
        <w:spacing w:line="360" w:lineRule="auto"/>
        <w:rPr>
          <w:rFonts w:ascii="宋体"/>
          <w:b/>
          <w:sz w:val="28"/>
          <w:szCs w:val="28"/>
        </w:rPr>
      </w:pPr>
    </w:p>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firstLine="482" w:firstLineChars="200"/>
        <w:rPr>
          <w:rFonts w:ascii="宋体"/>
          <w:szCs w:val="21"/>
        </w:rPr>
      </w:pPr>
      <w:r>
        <w:rPr>
          <w:rFonts w:ascii="宋体"/>
          <w:b/>
          <w:sz w:val="24"/>
        </w:rPr>
        <w:t xml:space="preserve">1.1 </w:t>
      </w:r>
      <w:r>
        <w:rPr>
          <w:rFonts w:hint="eastAsia" w:ascii="宋体"/>
          <w:b/>
          <w:sz w:val="24"/>
        </w:rPr>
        <w:t>公开招标范围</w:t>
      </w:r>
      <w:r>
        <w:rPr>
          <w:rFonts w:hint="eastAsia" w:ascii="宋体"/>
          <w:sz w:val="24"/>
        </w:rPr>
        <w:t>：</w:t>
      </w:r>
      <w:r>
        <w:rPr>
          <w:rFonts w:hint="eastAsia" w:ascii="宋体"/>
          <w:szCs w:val="21"/>
        </w:rPr>
        <w:t>本项目为浙江航空开发有限责任公司承接的第三方制药客户工厂与仓库间短驳业务，</w:t>
      </w:r>
    </w:p>
    <w:p>
      <w:pPr>
        <w:spacing w:line="360" w:lineRule="auto"/>
        <w:ind w:left="1418" w:leftChars="200" w:hanging="998" w:hangingChars="475"/>
        <w:rPr>
          <w:rFonts w:ascii="宋体"/>
          <w:szCs w:val="21"/>
        </w:rPr>
      </w:pPr>
      <w:r>
        <w:rPr>
          <w:rFonts w:hint="eastAsia" w:ascii="宋体"/>
          <w:szCs w:val="21"/>
        </w:rPr>
        <w:t>业务内容：将位于下沙工厂生产的成品驳运至位于临江的仓库，再将位于临江的仓库的原料及半成品驳运至位于下沙的工厂（无需装卸）。</w:t>
      </w:r>
    </w:p>
    <w:p>
      <w:pPr>
        <w:spacing w:line="360" w:lineRule="auto"/>
        <w:ind w:left="1418" w:leftChars="200" w:hanging="998" w:hangingChars="475"/>
        <w:rPr>
          <w:rFonts w:ascii="宋体"/>
          <w:szCs w:val="21"/>
        </w:rPr>
      </w:pPr>
      <w:r>
        <w:rPr>
          <w:rFonts w:hint="eastAsia" w:ascii="宋体"/>
          <w:szCs w:val="21"/>
        </w:rPr>
        <w:t>服务线路：杭州下沙经济开发区与杭州大江东临江工业园区之间。</w:t>
      </w:r>
    </w:p>
    <w:p>
      <w:pPr>
        <w:spacing w:line="360" w:lineRule="auto"/>
        <w:ind w:left="1418" w:leftChars="200" w:hanging="998" w:hangingChars="475"/>
        <w:rPr>
          <w:rFonts w:ascii="宋体"/>
          <w:szCs w:val="21"/>
        </w:rPr>
      </w:pPr>
      <w:r>
        <w:rPr>
          <w:rFonts w:hint="eastAsia" w:ascii="宋体"/>
          <w:szCs w:val="21"/>
        </w:rPr>
        <w:t>主要设备：车头2台，车挂4个。</w:t>
      </w:r>
    </w:p>
    <w:p>
      <w:pPr>
        <w:spacing w:line="360" w:lineRule="auto"/>
        <w:ind w:firstLine="420" w:firstLineChars="200"/>
        <w:rPr>
          <w:rFonts w:ascii="宋体"/>
          <w:szCs w:val="21"/>
        </w:rPr>
      </w:pPr>
      <w:r>
        <w:rPr>
          <w:rFonts w:hint="eastAsia" w:ascii="宋体"/>
          <w:szCs w:val="21"/>
        </w:rPr>
        <w:t>具体行车路线及设备情况，请在应标前联系我司项目联系人，尽早做好现场踏勘。</w:t>
      </w:r>
    </w:p>
    <w:p>
      <w:pPr>
        <w:spacing w:line="360" w:lineRule="auto"/>
        <w:ind w:firstLine="1"/>
        <w:rPr>
          <w:rFonts w:ascii="宋体"/>
          <w:b/>
          <w:sz w:val="28"/>
          <w:szCs w:val="28"/>
        </w:rPr>
      </w:pPr>
      <w:bookmarkStart w:id="16" w:name="_Toc49082409"/>
      <w:bookmarkStart w:id="17" w:name="_Toc49135195"/>
      <w:r>
        <w:rPr>
          <w:rFonts w:hint="eastAsia" w:ascii="宋体"/>
          <w:b/>
          <w:sz w:val="28"/>
          <w:szCs w:val="28"/>
        </w:rPr>
        <w:t>2</w:t>
      </w:r>
      <w:r>
        <w:rPr>
          <w:rFonts w:ascii="宋体"/>
          <w:b/>
          <w:sz w:val="28"/>
          <w:szCs w:val="28"/>
        </w:rPr>
        <w:t xml:space="preserve">. </w:t>
      </w:r>
      <w:r>
        <w:rPr>
          <w:rFonts w:hint="eastAsia" w:ascii="宋体"/>
          <w:b/>
          <w:sz w:val="24"/>
        </w:rPr>
        <w:t>投标</w:t>
      </w:r>
      <w:r>
        <w:rPr>
          <w:rFonts w:hint="eastAsia" w:ascii="宋体"/>
          <w:b/>
          <w:sz w:val="28"/>
          <w:szCs w:val="28"/>
        </w:rPr>
        <w:t>要求</w:t>
      </w:r>
    </w:p>
    <w:p>
      <w:pPr>
        <w:spacing w:line="360" w:lineRule="auto"/>
        <w:ind w:firstLine="482" w:firstLineChars="200"/>
        <w:rPr>
          <w:rFonts w:ascii="宋体"/>
          <w:b/>
          <w:sz w:val="24"/>
        </w:rPr>
      </w:pPr>
      <w:r>
        <w:rPr>
          <w:rFonts w:hint="eastAsia" w:ascii="宋体"/>
          <w:b/>
          <w:sz w:val="24"/>
        </w:rPr>
        <w:t>2</w:t>
      </w:r>
      <w:r>
        <w:rPr>
          <w:rFonts w:ascii="宋体"/>
          <w:b/>
          <w:sz w:val="24"/>
        </w:rPr>
        <w:t xml:space="preserve">.1 </w:t>
      </w:r>
      <w:r>
        <w:rPr>
          <w:rFonts w:hint="eastAsia" w:ascii="宋体"/>
          <w:b/>
          <w:sz w:val="24"/>
        </w:rPr>
        <w:t>投标要求</w:t>
      </w:r>
    </w:p>
    <w:p>
      <w:pPr>
        <w:spacing w:line="360" w:lineRule="auto"/>
        <w:ind w:firstLine="420" w:firstLineChars="200"/>
        <w:rPr>
          <w:rFonts w:ascii="宋体"/>
        </w:rPr>
      </w:pPr>
      <w:r>
        <w:rPr>
          <w:rFonts w:hint="eastAsia" w:ascii="宋体"/>
        </w:rPr>
        <w:t>（</w:t>
      </w:r>
      <w:r>
        <w:rPr>
          <w:rFonts w:ascii="宋体"/>
        </w:rPr>
        <w:t>1</w:t>
      </w:r>
      <w:r>
        <w:rPr>
          <w:rFonts w:hint="eastAsia" w:ascii="宋体"/>
        </w:rPr>
        <w:t>）投标单位应按照公开招标文件的内容，根据设备、人员的投入及业务线路和运营成本控制等，充分考虑本项目实际情况、市场风险及自身的综合实力，自主竞报报价并承担相应的风险责任。</w:t>
      </w:r>
    </w:p>
    <w:p>
      <w:pPr>
        <w:spacing w:line="360" w:lineRule="auto"/>
        <w:ind w:firstLine="420" w:firstLineChars="200"/>
        <w:rPr>
          <w:rFonts w:ascii="宋体"/>
        </w:rPr>
      </w:pPr>
      <w:r>
        <w:rPr>
          <w:rFonts w:hint="eastAsia" w:ascii="宋体"/>
        </w:rPr>
        <w:t>（</w:t>
      </w:r>
      <w:r>
        <w:rPr>
          <w:rFonts w:ascii="宋体"/>
        </w:rPr>
        <w:t>2</w:t>
      </w:r>
      <w:r>
        <w:rPr>
          <w:rFonts w:hint="eastAsia" w:ascii="宋体"/>
        </w:rPr>
        <w:t>）本项目报价应按照以下类型及格式进行报价：</w:t>
      </w:r>
    </w:p>
    <w:tbl>
      <w:tblPr>
        <w:tblStyle w:val="24"/>
        <w:tblW w:w="9464" w:type="dxa"/>
        <w:tblInd w:w="0" w:type="dxa"/>
        <w:tblLayout w:type="fixed"/>
        <w:tblCellMar>
          <w:top w:w="0" w:type="dxa"/>
          <w:left w:w="108" w:type="dxa"/>
          <w:bottom w:w="0" w:type="dxa"/>
          <w:right w:w="108" w:type="dxa"/>
        </w:tblCellMar>
      </w:tblPr>
      <w:tblGrid>
        <w:gridCol w:w="4219"/>
        <w:gridCol w:w="3260"/>
        <w:gridCol w:w="1985"/>
      </w:tblGrid>
      <w:tr>
        <w:tblPrEx>
          <w:tblLayout w:type="fixed"/>
          <w:tblCellMar>
            <w:top w:w="0" w:type="dxa"/>
            <w:left w:w="108" w:type="dxa"/>
            <w:bottom w:w="0" w:type="dxa"/>
            <w:right w:w="108" w:type="dxa"/>
          </w:tblCellMar>
        </w:tblPrEx>
        <w:trPr>
          <w:trHeight w:val="165" w:hRule="atLeast"/>
        </w:trPr>
        <w:tc>
          <w:tcPr>
            <w:tcW w:w="4219"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p>
        </w:tc>
        <w:tc>
          <w:tcPr>
            <w:tcW w:w="3260"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985"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65" w:hRule="atLeast"/>
        </w:trPr>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固定费用</w:t>
            </w:r>
          </w:p>
        </w:tc>
        <w:tc>
          <w:tcPr>
            <w:tcW w:w="326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rPr>
                <w:rFonts w:ascii="Arial" w:hAnsi="Arial" w:cs="Arial"/>
                <w:kern w:val="0"/>
                <w:szCs w:val="21"/>
              </w:rPr>
            </w:pPr>
            <w:r>
              <w:rPr>
                <w:rFonts w:ascii="Arial" w:hAnsi="Arial" w:cs="Arial"/>
                <w:kern w:val="0"/>
                <w:szCs w:val="21"/>
              </w:rPr>
              <w:t>(</w:t>
            </w:r>
            <w:r>
              <w:rPr>
                <w:rFonts w:hint="eastAsia" w:ascii="宋体" w:hAnsi="宋体" w:cs="Arial"/>
                <w:kern w:val="0"/>
                <w:sz w:val="22"/>
                <w:szCs w:val="22"/>
              </w:rPr>
              <w:t>厢式整车门到门，不包括装卸</w:t>
            </w:r>
            <w:r>
              <w:rPr>
                <w:rFonts w:ascii="Arial" w:hAnsi="Arial" w:cs="Arial"/>
                <w:kern w:val="0"/>
                <w:szCs w:val="21"/>
              </w:rPr>
              <w:t>)</w:t>
            </w:r>
          </w:p>
        </w:tc>
        <w:tc>
          <w:tcPr>
            <w:tcW w:w="1985" w:type="dxa"/>
            <w:tcBorders>
              <w:top w:val="single" w:color="auto" w:sz="8" w:space="0"/>
              <w:left w:val="nil"/>
              <w:bottom w:val="single" w:color="auto" w:sz="8" w:space="0"/>
              <w:right w:val="single" w:color="auto" w:sz="8"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变动费用</w:t>
            </w:r>
          </w:p>
          <w:p>
            <w:pPr>
              <w:widowControl/>
              <w:rPr>
                <w:rFonts w:ascii="宋体" w:hAnsi="宋体" w:cs="宋体"/>
                <w:kern w:val="0"/>
                <w:sz w:val="22"/>
                <w:szCs w:val="22"/>
              </w:rPr>
            </w:pPr>
            <w:r>
              <w:rPr>
                <w:rFonts w:hint="eastAsia" w:ascii="宋体" w:hAnsi="宋体" w:cs="宋体"/>
                <w:kern w:val="0"/>
                <w:sz w:val="22"/>
                <w:szCs w:val="22"/>
              </w:rPr>
              <w:t>（元</w:t>
            </w:r>
            <w:r>
              <w:rPr>
                <w:rFonts w:ascii="Arial" w:hAnsi="Arial" w:cs="Arial"/>
                <w:kern w:val="0"/>
                <w:szCs w:val="21"/>
              </w:rPr>
              <w:t>/</w:t>
            </w:r>
            <w:r>
              <w:rPr>
                <w:rFonts w:hint="eastAsia" w:ascii="宋体" w:hAnsi="宋体" w:cs="宋体"/>
                <w:kern w:val="0"/>
                <w:sz w:val="22"/>
                <w:szCs w:val="22"/>
              </w:rPr>
              <w:t>单趟</w:t>
            </w:r>
            <w:r>
              <w:rPr>
                <w:rFonts w:ascii="Arial" w:hAnsi="Arial" w:cs="Arial"/>
                <w:kern w:val="0"/>
                <w:szCs w:val="21"/>
              </w:rPr>
              <w:t>/</w:t>
            </w:r>
            <w:r>
              <w:rPr>
                <w:rFonts w:hint="eastAsia" w:ascii="宋体" w:hAnsi="宋体" w:cs="宋体"/>
                <w:kern w:val="0"/>
                <w:sz w:val="22"/>
                <w:szCs w:val="22"/>
              </w:rPr>
              <w:t>车）</w:t>
            </w:r>
          </w:p>
        </w:tc>
      </w:tr>
      <w:tr>
        <w:tblPrEx>
          <w:tblLayout w:type="fixed"/>
          <w:tblCellMar>
            <w:top w:w="0" w:type="dxa"/>
            <w:left w:w="108" w:type="dxa"/>
            <w:bottom w:w="0" w:type="dxa"/>
            <w:right w:w="108" w:type="dxa"/>
          </w:tblCellMar>
        </w:tblPrEx>
        <w:trPr>
          <w:trHeight w:val="465" w:hRule="atLeast"/>
        </w:trPr>
        <w:tc>
          <w:tcPr>
            <w:tcW w:w="4219"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left"/>
              <w:rPr>
                <w:rFonts w:ascii="Arial" w:hAnsi="Arial" w:cs="Arial"/>
                <w:kern w:val="0"/>
                <w:szCs w:val="21"/>
              </w:rPr>
            </w:pPr>
            <w:bookmarkStart w:id="18" w:name="RANGE!B3"/>
            <w:r>
              <w:rPr>
                <w:rFonts w:ascii="Arial" w:hAnsi="Arial" w:cs="Arial"/>
                <w:kern w:val="0"/>
                <w:szCs w:val="21"/>
              </w:rPr>
              <w:t>20</w:t>
            </w:r>
            <w:r>
              <w:rPr>
                <w:rFonts w:hint="eastAsia" w:ascii="宋体" w:hAnsi="宋体" w:cs="Arial"/>
                <w:kern w:val="0"/>
                <w:sz w:val="22"/>
                <w:szCs w:val="22"/>
              </w:rPr>
              <w:t>吨拖车固定使用费（元</w:t>
            </w:r>
            <w:r>
              <w:rPr>
                <w:rFonts w:ascii="Arial" w:hAnsi="Arial" w:cs="Arial"/>
                <w:kern w:val="0"/>
                <w:szCs w:val="21"/>
              </w:rPr>
              <w:t>/</w:t>
            </w:r>
            <w:r>
              <w:rPr>
                <w:rFonts w:hint="eastAsia" w:ascii="宋体" w:hAnsi="宋体" w:cs="Arial"/>
                <w:kern w:val="0"/>
                <w:sz w:val="22"/>
                <w:szCs w:val="22"/>
              </w:rPr>
              <w:t>月</w:t>
            </w:r>
            <w:r>
              <w:rPr>
                <w:rFonts w:ascii="Arial" w:hAnsi="Arial" w:cs="Arial"/>
                <w:kern w:val="0"/>
                <w:szCs w:val="21"/>
              </w:rPr>
              <w:t>/</w:t>
            </w:r>
            <w:r>
              <w:rPr>
                <w:rFonts w:hint="eastAsia" w:ascii="宋体" w:hAnsi="宋体" w:cs="Arial"/>
                <w:kern w:val="0"/>
                <w:sz w:val="22"/>
                <w:szCs w:val="22"/>
              </w:rPr>
              <w:t>车）</w:t>
            </w:r>
            <w:bookmarkEnd w:id="18"/>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cs="Arial"/>
                <w:kern w:val="0"/>
                <w:szCs w:val="21"/>
              </w:rPr>
            </w:pPr>
          </w:p>
        </w:tc>
        <w:tc>
          <w:tcPr>
            <w:tcW w:w="198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Arial" w:hAnsi="Arial" w:cs="Arial"/>
                <w:kern w:val="0"/>
                <w:szCs w:val="21"/>
              </w:rPr>
            </w:pPr>
          </w:p>
        </w:tc>
      </w:tr>
      <w:tr>
        <w:tblPrEx>
          <w:tblLayout w:type="fixed"/>
          <w:tblCellMar>
            <w:top w:w="0" w:type="dxa"/>
            <w:left w:w="108" w:type="dxa"/>
            <w:bottom w:w="0" w:type="dxa"/>
            <w:right w:w="108" w:type="dxa"/>
          </w:tblCellMar>
        </w:tblPrEx>
        <w:trPr>
          <w:trHeight w:val="465" w:hRule="atLeast"/>
        </w:trPr>
        <w:tc>
          <w:tcPr>
            <w:tcW w:w="421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厢式挂车固定使用费</w:t>
            </w:r>
            <w:r>
              <w:rPr>
                <w:rFonts w:ascii="Arial" w:hAnsi="Arial" w:cs="Arial"/>
                <w:kern w:val="0"/>
                <w:szCs w:val="21"/>
              </w:rPr>
              <w:t>(</w:t>
            </w:r>
            <w:r>
              <w:rPr>
                <w:rFonts w:hint="eastAsia" w:ascii="Arial" w:hAnsi="Arial" w:cs="Arial"/>
                <w:kern w:val="0"/>
                <w:szCs w:val="21"/>
              </w:rPr>
              <w:t>内径</w:t>
            </w:r>
            <w:r>
              <w:rPr>
                <w:rFonts w:ascii="Arial" w:hAnsi="Arial" w:cs="Arial"/>
                <w:kern w:val="0"/>
                <w:szCs w:val="21"/>
              </w:rPr>
              <w:t>12*2.4</w:t>
            </w:r>
            <w:r>
              <w:rPr>
                <w:rFonts w:hint="eastAsia" w:ascii="Arial" w:hAnsi="Arial" w:cs="Arial"/>
                <w:kern w:val="0"/>
                <w:szCs w:val="21"/>
              </w:rPr>
              <w:t>5</w:t>
            </w:r>
            <w:r>
              <w:rPr>
                <w:rFonts w:ascii="Arial" w:hAnsi="Arial" w:cs="Arial"/>
                <w:kern w:val="0"/>
                <w:szCs w:val="21"/>
              </w:rPr>
              <w:t>*2.4</w:t>
            </w:r>
            <w:r>
              <w:rPr>
                <w:rFonts w:hint="eastAsia" w:ascii="Arial" w:hAnsi="Arial" w:cs="Arial"/>
                <w:kern w:val="0"/>
                <w:szCs w:val="21"/>
              </w:rPr>
              <w:t>5</w:t>
            </w:r>
            <w:r>
              <w:rPr>
                <w:rFonts w:ascii="Arial" w:hAnsi="Arial" w:cs="Arial"/>
                <w:kern w:val="0"/>
                <w:szCs w:val="21"/>
              </w:rPr>
              <w:t xml:space="preserve">) </w:t>
            </w:r>
            <w:r>
              <w:rPr>
                <w:rFonts w:hint="eastAsia" w:ascii="宋体" w:hAnsi="宋体" w:cs="宋体"/>
                <w:kern w:val="0"/>
                <w:sz w:val="22"/>
                <w:szCs w:val="22"/>
              </w:rPr>
              <w:t>（元</w:t>
            </w:r>
            <w:r>
              <w:rPr>
                <w:rFonts w:ascii="Arial" w:hAnsi="Arial" w:cs="Arial"/>
                <w:kern w:val="0"/>
                <w:szCs w:val="21"/>
              </w:rPr>
              <w:t>/</w:t>
            </w:r>
            <w:r>
              <w:rPr>
                <w:rFonts w:hint="eastAsia" w:ascii="宋体" w:hAnsi="宋体" w:cs="宋体"/>
                <w:kern w:val="0"/>
                <w:sz w:val="22"/>
                <w:szCs w:val="22"/>
              </w:rPr>
              <w:t>月</w:t>
            </w:r>
            <w:r>
              <w:rPr>
                <w:rFonts w:ascii="Arial" w:hAnsi="Arial" w:cs="Arial"/>
                <w:kern w:val="0"/>
                <w:szCs w:val="21"/>
              </w:rPr>
              <w:t>/</w:t>
            </w:r>
            <w:r>
              <w:rPr>
                <w:rFonts w:hint="eastAsia" w:ascii="宋体" w:hAnsi="宋体" w:cs="宋体"/>
                <w:kern w:val="0"/>
                <w:sz w:val="22"/>
                <w:szCs w:val="22"/>
              </w:rPr>
              <w:t>车）</w:t>
            </w:r>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cs="Arial"/>
                <w:kern w:val="0"/>
                <w:szCs w:val="21"/>
              </w:rPr>
            </w:pPr>
          </w:p>
        </w:tc>
        <w:tc>
          <w:tcPr>
            <w:tcW w:w="1985" w:type="dxa"/>
            <w:vMerge w:val="continue"/>
            <w:tcBorders>
              <w:top w:val="nil"/>
              <w:left w:val="single" w:color="auto" w:sz="8" w:space="0"/>
              <w:bottom w:val="single" w:color="000000" w:sz="8" w:space="0"/>
              <w:right w:val="single" w:color="auto" w:sz="8" w:space="0"/>
            </w:tcBorders>
            <w:vAlign w:val="center"/>
          </w:tcPr>
          <w:p>
            <w:pPr>
              <w:widowControl/>
              <w:jc w:val="left"/>
              <w:rPr>
                <w:rFonts w:ascii="Arial" w:hAnsi="Arial" w:cs="Arial"/>
                <w:kern w:val="0"/>
                <w:szCs w:val="21"/>
              </w:rPr>
            </w:pPr>
          </w:p>
        </w:tc>
      </w:tr>
      <w:tr>
        <w:tblPrEx>
          <w:tblLayout w:type="fixed"/>
          <w:tblCellMar>
            <w:top w:w="0" w:type="dxa"/>
            <w:left w:w="108" w:type="dxa"/>
            <w:bottom w:w="0" w:type="dxa"/>
            <w:right w:w="108" w:type="dxa"/>
          </w:tblCellMar>
        </w:tblPrEx>
        <w:trPr>
          <w:trHeight w:val="465" w:hRule="atLeast"/>
        </w:trPr>
        <w:tc>
          <w:tcPr>
            <w:tcW w:w="421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人员费用（元</w:t>
            </w:r>
            <w:r>
              <w:rPr>
                <w:rFonts w:ascii="Arial" w:hAnsi="Arial" w:cs="Arial"/>
                <w:kern w:val="0"/>
                <w:szCs w:val="21"/>
              </w:rPr>
              <w:t>/</w:t>
            </w:r>
            <w:r>
              <w:rPr>
                <w:rFonts w:hint="eastAsia" w:ascii="宋体" w:hAnsi="宋体" w:cs="宋体"/>
                <w:kern w:val="0"/>
                <w:sz w:val="22"/>
                <w:szCs w:val="22"/>
              </w:rPr>
              <w:t>月</w:t>
            </w:r>
            <w:r>
              <w:rPr>
                <w:rFonts w:ascii="Arial" w:hAnsi="Arial" w:cs="Arial"/>
                <w:kern w:val="0"/>
                <w:szCs w:val="21"/>
              </w:rPr>
              <w:t>/</w:t>
            </w:r>
            <w:r>
              <w:rPr>
                <w:rFonts w:hint="eastAsia" w:ascii="宋体" w:hAnsi="宋体" w:cs="宋体"/>
                <w:kern w:val="0"/>
                <w:sz w:val="22"/>
                <w:szCs w:val="22"/>
              </w:rPr>
              <w:t>人）</w:t>
            </w:r>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cs="Arial"/>
                <w:kern w:val="0"/>
                <w:szCs w:val="21"/>
              </w:rPr>
            </w:pPr>
          </w:p>
        </w:tc>
        <w:tc>
          <w:tcPr>
            <w:tcW w:w="1985" w:type="dxa"/>
            <w:vMerge w:val="continue"/>
            <w:tcBorders>
              <w:top w:val="nil"/>
              <w:left w:val="single" w:color="auto" w:sz="8" w:space="0"/>
              <w:bottom w:val="single" w:color="000000" w:sz="8" w:space="0"/>
              <w:right w:val="single" w:color="auto" w:sz="8" w:space="0"/>
            </w:tcBorders>
            <w:vAlign w:val="center"/>
          </w:tcPr>
          <w:p>
            <w:pPr>
              <w:widowControl/>
              <w:jc w:val="left"/>
              <w:rPr>
                <w:rFonts w:ascii="Arial" w:hAnsi="Arial" w:cs="Arial"/>
                <w:kern w:val="0"/>
                <w:szCs w:val="21"/>
              </w:rPr>
            </w:pPr>
          </w:p>
        </w:tc>
      </w:tr>
      <w:tr>
        <w:tblPrEx>
          <w:tblLayout w:type="fixed"/>
          <w:tblCellMar>
            <w:top w:w="0" w:type="dxa"/>
            <w:left w:w="108" w:type="dxa"/>
            <w:bottom w:w="0" w:type="dxa"/>
            <w:right w:w="108" w:type="dxa"/>
          </w:tblCellMar>
        </w:tblPrEx>
        <w:trPr>
          <w:trHeight w:val="493" w:hRule="atLeast"/>
        </w:trPr>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合计：（=“20吨拖车固定使用费”*2+“厢式挂车固定使用费”*4+“人员费用”*2+“变动费用”*220）</w:t>
            </w:r>
          </w:p>
        </w:tc>
        <w:tc>
          <w:tcPr>
            <w:tcW w:w="5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1"/>
              </w:rPr>
            </w:pPr>
          </w:p>
        </w:tc>
      </w:tr>
    </w:tbl>
    <w:p>
      <w:pPr>
        <w:spacing w:line="360" w:lineRule="auto"/>
        <w:ind w:firstLine="420" w:firstLineChars="200"/>
        <w:rPr>
          <w:rFonts w:ascii="宋体"/>
        </w:rPr>
      </w:pPr>
    </w:p>
    <w:p>
      <w:pPr>
        <w:spacing w:line="360" w:lineRule="auto"/>
        <w:ind w:firstLine="420" w:firstLineChars="200"/>
        <w:rPr>
          <w:rFonts w:ascii="宋体" w:hAnsi="宋体" w:cs="宋体"/>
          <w:kern w:val="0"/>
          <w:sz w:val="22"/>
          <w:szCs w:val="22"/>
        </w:rPr>
      </w:pPr>
      <w:r>
        <w:rPr>
          <w:rFonts w:hint="eastAsia" w:ascii="宋体"/>
        </w:rPr>
        <w:t>（3）</w:t>
      </w:r>
      <w:r>
        <w:rPr>
          <w:rFonts w:hint="eastAsia" w:ascii="宋体" w:hAnsi="宋体" w:cs="宋体"/>
          <w:kern w:val="0"/>
          <w:sz w:val="22"/>
          <w:szCs w:val="22"/>
        </w:rPr>
        <w:t>运输路线：下沙工厂与临江仓库之间</w:t>
      </w:r>
      <w:r>
        <w:rPr>
          <w:rFonts w:ascii="宋体" w:hAnsi="宋体" w:cs="宋体"/>
          <w:kern w:val="0"/>
          <w:sz w:val="22"/>
          <w:szCs w:val="22"/>
        </w:rPr>
        <w:t xml:space="preserve"> (23</w:t>
      </w:r>
      <w:r>
        <w:rPr>
          <w:rFonts w:hint="eastAsia" w:ascii="宋体" w:hAnsi="宋体" w:cs="宋体"/>
          <w:kern w:val="0"/>
          <w:sz w:val="22"/>
          <w:szCs w:val="22"/>
        </w:rPr>
        <w:t>公里</w:t>
      </w:r>
      <w:r>
        <w:rPr>
          <w:rFonts w:ascii="宋体" w:hAnsi="宋体" w:cs="宋体"/>
          <w:kern w:val="0"/>
          <w:sz w:val="22"/>
          <w:szCs w:val="22"/>
        </w:rPr>
        <w:t>)</w:t>
      </w:r>
      <w:r>
        <w:rPr>
          <w:rFonts w:hint="eastAsia" w:ascii="宋体" w:hAnsi="宋体" w:cs="宋体"/>
          <w:kern w:val="0"/>
          <w:sz w:val="22"/>
          <w:szCs w:val="22"/>
        </w:rPr>
        <w:t>，</w:t>
      </w:r>
    </w:p>
    <w:p>
      <w:pPr>
        <w:spacing w:line="360" w:lineRule="auto"/>
        <w:ind w:firstLine="992" w:firstLineChars="451"/>
        <w:rPr>
          <w:rFonts w:ascii="宋体"/>
        </w:rPr>
      </w:pPr>
      <w:r>
        <w:rPr>
          <w:rFonts w:hint="eastAsia" w:ascii="宋体" w:hAnsi="宋体" w:cs="宋体"/>
          <w:kern w:val="0"/>
          <w:sz w:val="22"/>
          <w:szCs w:val="22"/>
        </w:rPr>
        <w:t>下沙工厂地址：杭州下沙经济技术开发区文海北路</w:t>
      </w:r>
      <w:r>
        <w:rPr>
          <w:rFonts w:ascii="宋体" w:hAnsi="宋体" w:cs="宋体"/>
          <w:kern w:val="0"/>
          <w:sz w:val="22"/>
          <w:szCs w:val="22"/>
        </w:rPr>
        <w:t>199</w:t>
      </w:r>
      <w:r>
        <w:rPr>
          <w:rFonts w:hint="eastAsia" w:ascii="宋体" w:hAnsi="宋体" w:cs="宋体"/>
          <w:kern w:val="0"/>
          <w:sz w:val="22"/>
          <w:szCs w:val="22"/>
        </w:rPr>
        <w:t>号</w:t>
      </w:r>
    </w:p>
    <w:p>
      <w:pPr>
        <w:spacing w:line="360" w:lineRule="auto"/>
        <w:ind w:firstLine="992" w:firstLineChars="451"/>
        <w:rPr>
          <w:rFonts w:ascii="宋体"/>
        </w:rPr>
      </w:pPr>
      <w:r>
        <w:rPr>
          <w:rFonts w:hint="eastAsia" w:ascii="宋体" w:hAnsi="宋体" w:cs="宋体"/>
          <w:kern w:val="0"/>
          <w:sz w:val="22"/>
          <w:szCs w:val="22"/>
        </w:rPr>
        <w:t>临江仓库地址：杭州萧山临江工业园区经七路</w:t>
      </w:r>
      <w:r>
        <w:rPr>
          <w:rFonts w:ascii="宋体" w:hAnsi="宋体" w:cs="宋体"/>
          <w:kern w:val="0"/>
          <w:sz w:val="22"/>
          <w:szCs w:val="22"/>
        </w:rPr>
        <w:t>1999</w:t>
      </w:r>
      <w:r>
        <w:rPr>
          <w:rFonts w:hint="eastAsia" w:ascii="宋体" w:hAnsi="宋体" w:cs="宋体"/>
          <w:kern w:val="0"/>
          <w:sz w:val="22"/>
          <w:szCs w:val="22"/>
        </w:rPr>
        <w:t>号</w:t>
      </w:r>
    </w:p>
    <w:p>
      <w:pPr>
        <w:spacing w:line="360" w:lineRule="auto"/>
        <w:ind w:firstLine="420" w:firstLineChars="200"/>
        <w:rPr>
          <w:rFonts w:ascii="宋体"/>
        </w:rPr>
      </w:pPr>
      <w:r>
        <w:rPr>
          <w:rFonts w:hint="eastAsia" w:ascii="宋体"/>
        </w:rPr>
        <w:t>（4）报价应为非含税报价（税点根据国家现行执行的增值税率）。</w:t>
      </w:r>
    </w:p>
    <w:p>
      <w:pPr>
        <w:spacing w:line="360" w:lineRule="auto"/>
        <w:ind w:firstLine="420" w:firstLineChars="200"/>
        <w:rPr>
          <w:rFonts w:ascii="宋体"/>
        </w:rPr>
      </w:pPr>
      <w:r>
        <w:rPr>
          <w:rFonts w:hint="eastAsia" w:ascii="宋体"/>
        </w:rPr>
        <w:t>（5）短驳发车频率：每日基本为8趟次，每月总趟次在220趟次左右（实际趟数以订单为准）；</w:t>
      </w:r>
    </w:p>
    <w:tbl>
      <w:tblPr>
        <w:tblStyle w:val="25"/>
        <w:tblW w:w="945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2835"/>
        <w:gridCol w:w="2268"/>
        <w:gridCol w:w="22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40" w:hRule="atLeast"/>
        </w:trPr>
        <w:tc>
          <w:tcPr>
            <w:tcW w:w="2093" w:type="dxa"/>
            <w:vAlign w:val="center"/>
          </w:tcPr>
          <w:p>
            <w:pPr>
              <w:widowControl/>
              <w:spacing w:before="100" w:beforeAutospacing="1" w:after="100" w:afterAutospacing="1"/>
              <w:jc w:val="center"/>
              <w:rPr>
                <w:rFonts w:ascii="Calibri" w:hAnsi="Arial" w:cs="Arial"/>
                <w:b/>
                <w:bCs/>
                <w:color w:val="auto"/>
                <w:szCs w:val="21"/>
              </w:rPr>
            </w:pPr>
            <w:r>
              <w:rPr>
                <w:rFonts w:ascii="Calibri" w:hAnsi="Arial" w:cs="Arial"/>
                <w:b/>
                <w:bCs/>
                <w:color w:val="auto"/>
                <w:szCs w:val="21"/>
              </w:rPr>
              <w:t>时间</w:t>
            </w:r>
          </w:p>
        </w:tc>
        <w:tc>
          <w:tcPr>
            <w:tcW w:w="2835" w:type="dxa"/>
            <w:vAlign w:val="center"/>
          </w:tcPr>
          <w:p>
            <w:pPr>
              <w:widowControl/>
              <w:spacing w:before="100" w:beforeAutospacing="1" w:after="100" w:afterAutospacing="1"/>
              <w:jc w:val="center"/>
              <w:rPr>
                <w:rFonts w:ascii="Arial" w:hAnsi="Arial" w:cs="Arial"/>
                <w:color w:val="auto"/>
                <w:kern w:val="0"/>
                <w:szCs w:val="21"/>
              </w:rPr>
            </w:pPr>
            <w:r>
              <w:rPr>
                <w:rFonts w:ascii="Calibri" w:hAnsi="Arial" w:cs="Arial"/>
                <w:b/>
                <w:bCs/>
                <w:color w:val="auto"/>
                <w:szCs w:val="21"/>
              </w:rPr>
              <w:t>发车地点</w:t>
            </w:r>
          </w:p>
        </w:tc>
        <w:tc>
          <w:tcPr>
            <w:tcW w:w="2268" w:type="dxa"/>
            <w:vAlign w:val="center"/>
          </w:tcPr>
          <w:p>
            <w:pPr>
              <w:widowControl/>
              <w:spacing w:before="100" w:beforeAutospacing="1" w:after="100" w:afterAutospacing="1"/>
              <w:ind w:firstLine="48" w:firstLineChars="15"/>
              <w:jc w:val="center"/>
              <w:rPr>
                <w:rFonts w:ascii="Arial" w:hAnsi="Arial" w:cs="Arial"/>
                <w:color w:val="auto"/>
                <w:kern w:val="0"/>
                <w:szCs w:val="21"/>
              </w:rPr>
            </w:pPr>
            <w:r>
              <w:rPr>
                <w:rFonts w:ascii="Calibri" w:hAnsi="Arial" w:cs="Arial"/>
                <w:b/>
                <w:bCs/>
                <w:color w:val="auto"/>
                <w:szCs w:val="21"/>
              </w:rPr>
              <w:t>目的地</w:t>
            </w:r>
          </w:p>
        </w:tc>
        <w:tc>
          <w:tcPr>
            <w:tcW w:w="2255" w:type="dxa"/>
            <w:vAlign w:val="center"/>
          </w:tcPr>
          <w:p>
            <w:pPr>
              <w:widowControl/>
              <w:spacing w:before="100" w:beforeAutospacing="1" w:after="100" w:afterAutospacing="1"/>
              <w:jc w:val="center"/>
              <w:rPr>
                <w:rFonts w:ascii="Arial" w:hAnsi="Arial" w:cs="Arial"/>
                <w:color w:val="auto"/>
                <w:kern w:val="0"/>
                <w:szCs w:val="21"/>
              </w:rPr>
            </w:pPr>
            <w:r>
              <w:rPr>
                <w:rFonts w:ascii="Calibri" w:hAnsi="Arial" w:cs="Arial"/>
                <w:b/>
                <w:bCs/>
                <w:color w:val="auto"/>
                <w:szCs w:val="21"/>
              </w:rPr>
              <w:t>趟数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06" w:hRule="atLeast"/>
        </w:trPr>
        <w:tc>
          <w:tcPr>
            <w:tcW w:w="2093" w:type="dxa"/>
          </w:tcPr>
          <w:p>
            <w:pPr>
              <w:widowControl/>
              <w:spacing w:before="100" w:beforeAutospacing="1" w:after="100" w:afterAutospacing="1"/>
              <w:jc w:val="center"/>
              <w:rPr>
                <w:rFonts w:ascii="Arial" w:hAnsi="Arial" w:cs="Arial"/>
                <w:color w:val="auto"/>
                <w:kern w:val="0"/>
                <w:szCs w:val="21"/>
              </w:rPr>
            </w:pPr>
            <w:r>
              <w:rPr>
                <w:rFonts w:ascii="Calibri" w:hAnsi="Calibri" w:cs="Calibri"/>
                <w:b/>
                <w:bCs/>
                <w:color w:val="auto"/>
                <w:szCs w:val="21"/>
              </w:rPr>
              <w:t>8:15</w:t>
            </w:r>
          </w:p>
        </w:tc>
        <w:tc>
          <w:tcPr>
            <w:tcW w:w="2835" w:type="dxa"/>
          </w:tcPr>
          <w:p>
            <w:pPr>
              <w:widowControl/>
              <w:spacing w:before="100" w:beforeAutospacing="1" w:after="100" w:afterAutospacing="1"/>
              <w:jc w:val="center"/>
              <w:rPr>
                <w:rFonts w:ascii="Arial" w:hAnsi="Arial" w:cs="Arial"/>
                <w:color w:val="auto"/>
                <w:kern w:val="0"/>
                <w:szCs w:val="21"/>
              </w:rPr>
            </w:pPr>
            <w:r>
              <w:rPr>
                <w:rFonts w:hint="eastAsia" w:ascii="Calibri" w:hAnsi="Calibri" w:cs="Calibri"/>
                <w:color w:val="auto"/>
                <w:szCs w:val="21"/>
              </w:rPr>
              <w:t>下沙工厂</w:t>
            </w:r>
          </w:p>
        </w:tc>
        <w:tc>
          <w:tcPr>
            <w:tcW w:w="2268" w:type="dxa"/>
          </w:tcPr>
          <w:p>
            <w:pPr>
              <w:widowControl/>
              <w:spacing w:before="100" w:beforeAutospacing="1" w:after="100" w:afterAutospacing="1"/>
              <w:ind w:firstLine="48" w:firstLineChars="15"/>
              <w:jc w:val="center"/>
              <w:rPr>
                <w:rFonts w:ascii="Arial" w:hAnsi="Arial" w:cs="Arial"/>
                <w:color w:val="auto"/>
                <w:kern w:val="0"/>
                <w:szCs w:val="21"/>
              </w:rPr>
            </w:pPr>
            <w:r>
              <w:rPr>
                <w:rFonts w:ascii="Calibri" w:hAnsi="Arial" w:cs="Arial"/>
                <w:color w:val="auto"/>
                <w:szCs w:val="21"/>
              </w:rPr>
              <w:t>临江</w:t>
            </w:r>
          </w:p>
        </w:tc>
        <w:tc>
          <w:tcPr>
            <w:tcW w:w="2255" w:type="dxa"/>
          </w:tcPr>
          <w:p>
            <w:pPr>
              <w:widowControl/>
              <w:spacing w:before="100" w:beforeAutospacing="1" w:after="100" w:afterAutospacing="1"/>
              <w:jc w:val="center"/>
              <w:rPr>
                <w:rFonts w:ascii="Arial" w:hAnsi="Arial" w:cs="Arial"/>
                <w:color w:val="auto"/>
                <w:kern w:val="0"/>
                <w:szCs w:val="21"/>
              </w:rPr>
            </w:pPr>
            <w:r>
              <w:rPr>
                <w:rFonts w:hint="eastAsia" w:ascii="Calibri" w:hAnsi="Calibri" w:cs="Calibri"/>
                <w:color w:val="auto"/>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9" w:hRule="atLeast"/>
        </w:trPr>
        <w:tc>
          <w:tcPr>
            <w:tcW w:w="2093" w:type="dxa"/>
          </w:tcPr>
          <w:p>
            <w:pPr>
              <w:widowControl/>
              <w:spacing w:before="100" w:beforeAutospacing="1" w:after="100" w:afterAutospacing="1"/>
              <w:jc w:val="center"/>
              <w:rPr>
                <w:rFonts w:ascii="Arial" w:hAnsi="Arial" w:cs="Arial"/>
                <w:color w:val="auto"/>
                <w:kern w:val="0"/>
                <w:szCs w:val="21"/>
              </w:rPr>
            </w:pPr>
            <w:r>
              <w:rPr>
                <w:rFonts w:ascii="Calibri" w:hAnsi="Calibri" w:cs="Calibri"/>
                <w:b/>
                <w:bCs/>
                <w:color w:val="auto"/>
                <w:szCs w:val="21"/>
              </w:rPr>
              <w:t>10:30</w:t>
            </w:r>
          </w:p>
        </w:tc>
        <w:tc>
          <w:tcPr>
            <w:tcW w:w="2835" w:type="dxa"/>
          </w:tcPr>
          <w:p>
            <w:pPr>
              <w:widowControl/>
              <w:spacing w:before="100" w:beforeAutospacing="1" w:after="100" w:afterAutospacing="1"/>
              <w:jc w:val="center"/>
              <w:rPr>
                <w:rFonts w:ascii="Arial" w:hAnsi="Arial" w:cs="Arial"/>
                <w:color w:val="auto"/>
                <w:kern w:val="0"/>
                <w:szCs w:val="21"/>
              </w:rPr>
            </w:pPr>
            <w:r>
              <w:rPr>
                <w:rFonts w:ascii="Calibri" w:hAnsi="Arial" w:cs="Arial"/>
                <w:color w:val="auto"/>
                <w:szCs w:val="21"/>
              </w:rPr>
              <w:t>临江</w:t>
            </w:r>
          </w:p>
        </w:tc>
        <w:tc>
          <w:tcPr>
            <w:tcW w:w="2268" w:type="dxa"/>
          </w:tcPr>
          <w:p>
            <w:pPr>
              <w:widowControl/>
              <w:spacing w:before="100" w:beforeAutospacing="1" w:after="100" w:afterAutospacing="1"/>
              <w:ind w:firstLine="48" w:firstLineChars="15"/>
              <w:jc w:val="center"/>
              <w:rPr>
                <w:rFonts w:ascii="Arial" w:hAnsi="Arial" w:cs="Arial"/>
                <w:color w:val="auto"/>
                <w:kern w:val="0"/>
                <w:szCs w:val="21"/>
              </w:rPr>
            </w:pPr>
            <w:r>
              <w:rPr>
                <w:rFonts w:hint="eastAsia" w:ascii="Calibri" w:hAnsi="Calibri" w:cs="Calibri"/>
                <w:color w:val="auto"/>
                <w:szCs w:val="21"/>
              </w:rPr>
              <w:t>下沙工厂</w:t>
            </w:r>
          </w:p>
        </w:tc>
        <w:tc>
          <w:tcPr>
            <w:tcW w:w="2255" w:type="dxa"/>
          </w:tcPr>
          <w:p>
            <w:pPr>
              <w:widowControl/>
              <w:spacing w:before="100" w:beforeAutospacing="1" w:after="100" w:afterAutospacing="1"/>
              <w:jc w:val="center"/>
              <w:rPr>
                <w:rFonts w:ascii="Arial" w:hAnsi="Arial" w:cs="Arial"/>
                <w:color w:val="auto"/>
                <w:kern w:val="0"/>
                <w:szCs w:val="21"/>
              </w:rPr>
            </w:pPr>
            <w:r>
              <w:rPr>
                <w:rFonts w:hint="eastAsia" w:ascii="Calibri" w:hAnsi="Calibri" w:cs="Calibri"/>
                <w:color w:val="auto"/>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5" w:hRule="atLeast"/>
        </w:trPr>
        <w:tc>
          <w:tcPr>
            <w:tcW w:w="2093" w:type="dxa"/>
          </w:tcPr>
          <w:p>
            <w:pPr>
              <w:widowControl/>
              <w:spacing w:before="100" w:beforeAutospacing="1" w:after="100" w:afterAutospacing="1"/>
              <w:jc w:val="center"/>
              <w:rPr>
                <w:rFonts w:ascii="Arial" w:hAnsi="Arial" w:cs="Arial"/>
                <w:color w:val="auto"/>
                <w:kern w:val="0"/>
                <w:szCs w:val="21"/>
              </w:rPr>
            </w:pPr>
            <w:r>
              <w:rPr>
                <w:rFonts w:ascii="Calibri" w:hAnsi="Calibri" w:cs="Calibri"/>
                <w:b/>
                <w:bCs/>
                <w:color w:val="auto"/>
                <w:szCs w:val="21"/>
              </w:rPr>
              <w:t>12:30</w:t>
            </w:r>
          </w:p>
        </w:tc>
        <w:tc>
          <w:tcPr>
            <w:tcW w:w="2835" w:type="dxa"/>
          </w:tcPr>
          <w:p>
            <w:pPr>
              <w:widowControl/>
              <w:spacing w:before="100" w:beforeAutospacing="1" w:after="100" w:afterAutospacing="1"/>
              <w:jc w:val="center"/>
              <w:rPr>
                <w:rFonts w:ascii="Arial" w:hAnsi="Arial" w:cs="Arial"/>
                <w:color w:val="auto"/>
                <w:kern w:val="0"/>
                <w:szCs w:val="21"/>
              </w:rPr>
            </w:pPr>
            <w:r>
              <w:rPr>
                <w:rFonts w:hint="eastAsia" w:ascii="Calibri" w:hAnsi="Calibri" w:cs="Calibri"/>
                <w:color w:val="auto"/>
                <w:szCs w:val="21"/>
              </w:rPr>
              <w:t>下沙工厂</w:t>
            </w:r>
          </w:p>
        </w:tc>
        <w:tc>
          <w:tcPr>
            <w:tcW w:w="2268" w:type="dxa"/>
          </w:tcPr>
          <w:p>
            <w:pPr>
              <w:widowControl/>
              <w:spacing w:before="100" w:beforeAutospacing="1" w:after="100" w:afterAutospacing="1"/>
              <w:ind w:firstLine="48" w:firstLineChars="15"/>
              <w:jc w:val="center"/>
              <w:rPr>
                <w:rFonts w:ascii="Arial" w:hAnsi="Arial" w:cs="Arial"/>
                <w:color w:val="auto"/>
                <w:kern w:val="0"/>
                <w:szCs w:val="21"/>
              </w:rPr>
            </w:pPr>
            <w:r>
              <w:rPr>
                <w:rFonts w:ascii="Calibri" w:hAnsi="Arial" w:cs="Arial"/>
                <w:color w:val="auto"/>
                <w:szCs w:val="21"/>
              </w:rPr>
              <w:t>临江</w:t>
            </w:r>
          </w:p>
        </w:tc>
        <w:tc>
          <w:tcPr>
            <w:tcW w:w="2255" w:type="dxa"/>
          </w:tcPr>
          <w:p>
            <w:pPr>
              <w:widowControl/>
              <w:spacing w:before="100" w:beforeAutospacing="1" w:after="100" w:afterAutospacing="1"/>
              <w:jc w:val="center"/>
              <w:rPr>
                <w:rFonts w:ascii="Arial" w:hAnsi="Arial" w:cs="Arial"/>
                <w:color w:val="auto"/>
                <w:kern w:val="0"/>
                <w:szCs w:val="21"/>
              </w:rPr>
            </w:pPr>
            <w:r>
              <w:rPr>
                <w:rFonts w:hint="eastAsia" w:ascii="Calibri" w:hAnsi="Calibri" w:cs="Calibri"/>
                <w:color w:val="auto"/>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5" w:hRule="atLeast"/>
        </w:trPr>
        <w:tc>
          <w:tcPr>
            <w:tcW w:w="2093" w:type="dxa"/>
          </w:tcPr>
          <w:p>
            <w:pPr>
              <w:widowControl/>
              <w:spacing w:before="100" w:beforeAutospacing="1" w:after="100" w:afterAutospacing="1"/>
              <w:jc w:val="center"/>
              <w:rPr>
                <w:rFonts w:ascii="Arial" w:hAnsi="Arial" w:cs="Arial"/>
                <w:color w:val="auto"/>
                <w:kern w:val="0"/>
                <w:szCs w:val="21"/>
              </w:rPr>
            </w:pPr>
            <w:r>
              <w:rPr>
                <w:rFonts w:ascii="Calibri" w:hAnsi="Calibri" w:cs="Calibri"/>
                <w:b/>
                <w:bCs/>
                <w:color w:val="auto"/>
                <w:szCs w:val="21"/>
              </w:rPr>
              <w:t>14:30</w:t>
            </w:r>
          </w:p>
        </w:tc>
        <w:tc>
          <w:tcPr>
            <w:tcW w:w="2835" w:type="dxa"/>
          </w:tcPr>
          <w:p>
            <w:pPr>
              <w:widowControl/>
              <w:spacing w:before="100" w:beforeAutospacing="1" w:after="100" w:afterAutospacing="1"/>
              <w:jc w:val="center"/>
              <w:rPr>
                <w:rFonts w:ascii="Arial" w:hAnsi="Arial" w:cs="Arial"/>
                <w:color w:val="auto"/>
                <w:kern w:val="0"/>
                <w:szCs w:val="21"/>
              </w:rPr>
            </w:pPr>
            <w:r>
              <w:rPr>
                <w:rFonts w:ascii="Calibri" w:hAnsi="Arial" w:cs="Arial"/>
                <w:color w:val="auto"/>
                <w:szCs w:val="21"/>
              </w:rPr>
              <w:t>临江</w:t>
            </w:r>
          </w:p>
        </w:tc>
        <w:tc>
          <w:tcPr>
            <w:tcW w:w="2268" w:type="dxa"/>
          </w:tcPr>
          <w:p>
            <w:pPr>
              <w:widowControl/>
              <w:spacing w:before="100" w:beforeAutospacing="1" w:after="100" w:afterAutospacing="1"/>
              <w:ind w:firstLine="48" w:firstLineChars="15"/>
              <w:jc w:val="center"/>
              <w:rPr>
                <w:rFonts w:ascii="Arial" w:hAnsi="Arial" w:cs="Arial"/>
                <w:color w:val="auto"/>
                <w:kern w:val="0"/>
                <w:szCs w:val="21"/>
              </w:rPr>
            </w:pPr>
            <w:r>
              <w:rPr>
                <w:rFonts w:hint="eastAsia" w:ascii="Calibri" w:hAnsi="Calibri" w:cs="Calibri"/>
                <w:color w:val="auto"/>
                <w:szCs w:val="21"/>
              </w:rPr>
              <w:t>下沙工厂</w:t>
            </w:r>
          </w:p>
        </w:tc>
        <w:tc>
          <w:tcPr>
            <w:tcW w:w="2255" w:type="dxa"/>
          </w:tcPr>
          <w:p>
            <w:pPr>
              <w:widowControl/>
              <w:spacing w:before="100" w:beforeAutospacing="1" w:after="100" w:afterAutospacing="1"/>
              <w:jc w:val="center"/>
              <w:rPr>
                <w:rFonts w:ascii="Arial" w:hAnsi="Arial" w:cs="Arial"/>
                <w:color w:val="auto"/>
                <w:kern w:val="0"/>
                <w:szCs w:val="21"/>
              </w:rPr>
            </w:pPr>
            <w:r>
              <w:rPr>
                <w:rFonts w:hint="eastAsia" w:ascii="Calibri" w:hAnsi="Calibri" w:cs="Calibri"/>
                <w:color w:val="auto"/>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2" w:hRule="atLeast"/>
        </w:trPr>
        <w:tc>
          <w:tcPr>
            <w:tcW w:w="2093" w:type="dxa"/>
          </w:tcPr>
          <w:p>
            <w:pPr>
              <w:widowControl/>
              <w:spacing w:before="100" w:beforeAutospacing="1" w:after="100" w:afterAutospacing="1"/>
              <w:jc w:val="center"/>
              <w:rPr>
                <w:rFonts w:ascii="Arial" w:hAnsi="Arial" w:cs="Arial"/>
                <w:color w:val="auto"/>
                <w:kern w:val="0"/>
                <w:szCs w:val="21"/>
              </w:rPr>
            </w:pPr>
            <w:r>
              <w:rPr>
                <w:rFonts w:ascii="Calibri" w:hAnsi="Calibri" w:cs="Calibri"/>
                <w:b/>
                <w:bCs/>
                <w:color w:val="auto"/>
                <w:szCs w:val="21"/>
              </w:rPr>
              <w:t>16:30</w:t>
            </w:r>
          </w:p>
        </w:tc>
        <w:tc>
          <w:tcPr>
            <w:tcW w:w="2835" w:type="dxa"/>
          </w:tcPr>
          <w:p>
            <w:pPr>
              <w:widowControl/>
              <w:spacing w:before="100" w:beforeAutospacing="1" w:after="100" w:afterAutospacing="1"/>
              <w:jc w:val="center"/>
              <w:rPr>
                <w:rFonts w:ascii="Arial" w:hAnsi="Arial" w:cs="Arial"/>
                <w:color w:val="auto"/>
                <w:kern w:val="0"/>
                <w:szCs w:val="21"/>
              </w:rPr>
            </w:pPr>
            <w:r>
              <w:rPr>
                <w:rFonts w:hint="eastAsia" w:ascii="Calibri" w:hAnsi="Calibri" w:cs="Calibri"/>
                <w:color w:val="auto"/>
                <w:szCs w:val="21"/>
              </w:rPr>
              <w:t>下沙工厂</w:t>
            </w:r>
          </w:p>
        </w:tc>
        <w:tc>
          <w:tcPr>
            <w:tcW w:w="2268" w:type="dxa"/>
          </w:tcPr>
          <w:p>
            <w:pPr>
              <w:widowControl/>
              <w:spacing w:before="100" w:beforeAutospacing="1" w:after="100" w:afterAutospacing="1"/>
              <w:ind w:firstLine="48" w:firstLineChars="15"/>
              <w:jc w:val="center"/>
              <w:rPr>
                <w:rFonts w:ascii="Arial" w:hAnsi="Arial" w:cs="Arial"/>
                <w:color w:val="auto"/>
                <w:kern w:val="0"/>
                <w:szCs w:val="21"/>
              </w:rPr>
            </w:pPr>
            <w:r>
              <w:rPr>
                <w:rFonts w:ascii="Calibri" w:hAnsi="Arial" w:cs="Arial"/>
                <w:color w:val="auto"/>
                <w:szCs w:val="21"/>
              </w:rPr>
              <w:t>临江</w:t>
            </w:r>
          </w:p>
        </w:tc>
        <w:tc>
          <w:tcPr>
            <w:tcW w:w="2255" w:type="dxa"/>
          </w:tcPr>
          <w:p>
            <w:pPr>
              <w:widowControl/>
              <w:spacing w:before="100" w:beforeAutospacing="1" w:after="100" w:afterAutospacing="1"/>
              <w:jc w:val="center"/>
              <w:rPr>
                <w:rFonts w:ascii="Arial" w:hAnsi="Arial" w:cs="Arial"/>
                <w:color w:val="auto"/>
                <w:kern w:val="0"/>
                <w:szCs w:val="21"/>
              </w:rPr>
            </w:pPr>
            <w:r>
              <w:rPr>
                <w:rFonts w:hint="eastAsia" w:ascii="Calibri" w:hAnsi="Calibri" w:cs="Calibri"/>
                <w:color w:val="auto"/>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5" w:hRule="atLeast"/>
        </w:trPr>
        <w:tc>
          <w:tcPr>
            <w:tcW w:w="2093" w:type="dxa"/>
          </w:tcPr>
          <w:p>
            <w:pPr>
              <w:widowControl/>
              <w:spacing w:before="100" w:beforeAutospacing="1" w:after="100" w:afterAutospacing="1"/>
              <w:jc w:val="center"/>
              <w:rPr>
                <w:rFonts w:ascii="Arial" w:hAnsi="Arial" w:cs="Arial"/>
                <w:color w:val="auto"/>
                <w:kern w:val="0"/>
                <w:szCs w:val="21"/>
              </w:rPr>
            </w:pPr>
            <w:r>
              <w:rPr>
                <w:rFonts w:ascii="Calibri" w:hAnsi="Calibri" w:cs="Calibri"/>
                <w:b/>
                <w:bCs/>
                <w:color w:val="auto"/>
                <w:szCs w:val="21"/>
              </w:rPr>
              <w:t>18:00</w:t>
            </w:r>
          </w:p>
        </w:tc>
        <w:tc>
          <w:tcPr>
            <w:tcW w:w="2835" w:type="dxa"/>
          </w:tcPr>
          <w:p>
            <w:pPr>
              <w:widowControl/>
              <w:spacing w:before="100" w:beforeAutospacing="1" w:after="100" w:afterAutospacing="1"/>
              <w:jc w:val="center"/>
              <w:rPr>
                <w:rFonts w:ascii="Arial" w:hAnsi="Arial" w:cs="Arial"/>
                <w:color w:val="auto"/>
                <w:kern w:val="0"/>
                <w:szCs w:val="21"/>
              </w:rPr>
            </w:pPr>
            <w:r>
              <w:rPr>
                <w:rFonts w:ascii="Calibri" w:hAnsi="Arial" w:cs="Arial"/>
                <w:color w:val="auto"/>
                <w:szCs w:val="21"/>
              </w:rPr>
              <w:t>临江</w:t>
            </w:r>
          </w:p>
        </w:tc>
        <w:tc>
          <w:tcPr>
            <w:tcW w:w="2268" w:type="dxa"/>
          </w:tcPr>
          <w:p>
            <w:pPr>
              <w:widowControl/>
              <w:spacing w:before="100" w:beforeAutospacing="1" w:after="100" w:afterAutospacing="1"/>
              <w:ind w:firstLine="48" w:firstLineChars="15"/>
              <w:jc w:val="center"/>
              <w:rPr>
                <w:rFonts w:ascii="Arial" w:hAnsi="Arial" w:cs="Arial"/>
                <w:color w:val="auto"/>
                <w:kern w:val="0"/>
                <w:szCs w:val="21"/>
              </w:rPr>
            </w:pPr>
            <w:r>
              <w:rPr>
                <w:rFonts w:hint="eastAsia" w:ascii="Calibri" w:hAnsi="Calibri" w:cs="Calibri"/>
                <w:color w:val="auto"/>
                <w:szCs w:val="21"/>
              </w:rPr>
              <w:t>下沙工厂</w:t>
            </w:r>
          </w:p>
        </w:tc>
        <w:tc>
          <w:tcPr>
            <w:tcW w:w="2255" w:type="dxa"/>
          </w:tcPr>
          <w:p>
            <w:pPr>
              <w:widowControl/>
              <w:spacing w:before="100" w:beforeAutospacing="1" w:after="100" w:afterAutospacing="1"/>
              <w:jc w:val="center"/>
              <w:rPr>
                <w:rFonts w:ascii="Arial" w:hAnsi="Arial" w:cs="Arial"/>
                <w:color w:val="auto"/>
                <w:kern w:val="0"/>
                <w:szCs w:val="21"/>
              </w:rPr>
            </w:pPr>
            <w:r>
              <w:rPr>
                <w:rFonts w:hint="eastAsia" w:ascii="Calibri" w:hAnsi="Calibri" w:cs="Calibri"/>
                <w:color w:val="auto"/>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5" w:hRule="atLeast"/>
        </w:trPr>
        <w:tc>
          <w:tcPr>
            <w:tcW w:w="2093" w:type="dxa"/>
          </w:tcPr>
          <w:p>
            <w:pPr>
              <w:widowControl/>
              <w:spacing w:before="100" w:beforeAutospacing="1" w:after="100" w:afterAutospacing="1"/>
              <w:jc w:val="center"/>
              <w:rPr>
                <w:rFonts w:ascii="Arial" w:hAnsi="Arial" w:cs="Arial"/>
                <w:color w:val="auto"/>
                <w:kern w:val="0"/>
                <w:szCs w:val="21"/>
              </w:rPr>
            </w:pPr>
            <w:r>
              <w:rPr>
                <w:rFonts w:ascii="Calibri" w:hAnsi="Calibri" w:cs="Calibri"/>
                <w:b/>
                <w:bCs/>
                <w:color w:val="auto"/>
                <w:szCs w:val="21"/>
              </w:rPr>
              <w:t>19:30</w:t>
            </w:r>
          </w:p>
        </w:tc>
        <w:tc>
          <w:tcPr>
            <w:tcW w:w="2835" w:type="dxa"/>
          </w:tcPr>
          <w:p>
            <w:pPr>
              <w:widowControl/>
              <w:spacing w:before="100" w:beforeAutospacing="1" w:after="100" w:afterAutospacing="1"/>
              <w:jc w:val="center"/>
              <w:rPr>
                <w:rFonts w:ascii="Arial" w:hAnsi="Arial" w:cs="Arial"/>
                <w:color w:val="auto"/>
                <w:kern w:val="0"/>
                <w:szCs w:val="21"/>
              </w:rPr>
            </w:pPr>
            <w:r>
              <w:rPr>
                <w:rFonts w:hint="eastAsia" w:ascii="Calibri" w:hAnsi="Calibri" w:cs="Calibri"/>
                <w:color w:val="auto"/>
                <w:szCs w:val="21"/>
              </w:rPr>
              <w:t>下沙工厂</w:t>
            </w:r>
          </w:p>
        </w:tc>
        <w:tc>
          <w:tcPr>
            <w:tcW w:w="2268" w:type="dxa"/>
          </w:tcPr>
          <w:p>
            <w:pPr>
              <w:widowControl/>
              <w:spacing w:before="100" w:beforeAutospacing="1" w:after="100" w:afterAutospacing="1"/>
              <w:ind w:firstLine="48" w:firstLineChars="15"/>
              <w:jc w:val="center"/>
              <w:rPr>
                <w:rFonts w:ascii="Arial" w:hAnsi="Arial" w:cs="Arial"/>
                <w:color w:val="auto"/>
                <w:kern w:val="0"/>
                <w:szCs w:val="21"/>
              </w:rPr>
            </w:pPr>
            <w:r>
              <w:rPr>
                <w:rFonts w:ascii="Calibri" w:hAnsi="Arial" w:cs="Arial"/>
                <w:color w:val="auto"/>
                <w:szCs w:val="21"/>
              </w:rPr>
              <w:t>临江</w:t>
            </w:r>
          </w:p>
        </w:tc>
        <w:tc>
          <w:tcPr>
            <w:tcW w:w="2255" w:type="dxa"/>
          </w:tcPr>
          <w:p>
            <w:pPr>
              <w:widowControl/>
              <w:spacing w:before="100" w:beforeAutospacing="1" w:after="100" w:afterAutospacing="1"/>
              <w:jc w:val="center"/>
              <w:rPr>
                <w:rFonts w:ascii="Arial" w:hAnsi="Arial" w:cs="Arial"/>
                <w:color w:val="auto"/>
                <w:kern w:val="0"/>
                <w:szCs w:val="21"/>
              </w:rPr>
            </w:pPr>
            <w:r>
              <w:rPr>
                <w:rFonts w:hint="eastAsia" w:ascii="Calibri" w:hAnsi="Calibri" w:cs="Calibri"/>
                <w:color w:val="auto"/>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9" w:hRule="atLeast"/>
        </w:trPr>
        <w:tc>
          <w:tcPr>
            <w:tcW w:w="2093" w:type="dxa"/>
          </w:tcPr>
          <w:p>
            <w:pPr>
              <w:widowControl/>
              <w:spacing w:before="100" w:beforeAutospacing="1" w:after="100" w:afterAutospacing="1"/>
              <w:jc w:val="center"/>
              <w:rPr>
                <w:rFonts w:ascii="Arial" w:hAnsi="Arial" w:cs="Arial"/>
                <w:color w:val="auto"/>
                <w:kern w:val="0"/>
                <w:szCs w:val="21"/>
              </w:rPr>
            </w:pPr>
            <w:r>
              <w:rPr>
                <w:rFonts w:ascii="Calibri" w:hAnsi="Calibri" w:cs="Calibri"/>
                <w:b/>
                <w:bCs/>
                <w:color w:val="auto"/>
                <w:szCs w:val="21"/>
              </w:rPr>
              <w:t>21:30</w:t>
            </w:r>
          </w:p>
        </w:tc>
        <w:tc>
          <w:tcPr>
            <w:tcW w:w="2835" w:type="dxa"/>
          </w:tcPr>
          <w:p>
            <w:pPr>
              <w:widowControl/>
              <w:spacing w:before="100" w:beforeAutospacing="1" w:after="100" w:afterAutospacing="1"/>
              <w:jc w:val="center"/>
              <w:rPr>
                <w:rFonts w:ascii="Arial" w:hAnsi="Arial" w:cs="Arial"/>
                <w:color w:val="auto"/>
                <w:kern w:val="0"/>
                <w:szCs w:val="21"/>
              </w:rPr>
            </w:pPr>
            <w:r>
              <w:rPr>
                <w:rFonts w:ascii="Calibri" w:hAnsi="Arial" w:cs="Arial"/>
                <w:color w:val="auto"/>
                <w:szCs w:val="21"/>
              </w:rPr>
              <w:t>临江</w:t>
            </w:r>
          </w:p>
        </w:tc>
        <w:tc>
          <w:tcPr>
            <w:tcW w:w="2268" w:type="dxa"/>
          </w:tcPr>
          <w:p>
            <w:pPr>
              <w:widowControl/>
              <w:spacing w:before="100" w:beforeAutospacing="1" w:after="100" w:afterAutospacing="1"/>
              <w:ind w:firstLine="48" w:firstLineChars="15"/>
              <w:jc w:val="center"/>
              <w:rPr>
                <w:rFonts w:ascii="Arial" w:hAnsi="Arial" w:cs="Arial"/>
                <w:color w:val="auto"/>
                <w:kern w:val="0"/>
                <w:szCs w:val="21"/>
              </w:rPr>
            </w:pPr>
            <w:r>
              <w:rPr>
                <w:rFonts w:hint="eastAsia" w:ascii="Calibri" w:hAnsi="Calibri" w:cs="Calibri"/>
                <w:color w:val="auto"/>
                <w:szCs w:val="21"/>
              </w:rPr>
              <w:t>下沙工厂</w:t>
            </w:r>
          </w:p>
        </w:tc>
        <w:tc>
          <w:tcPr>
            <w:tcW w:w="2255" w:type="dxa"/>
          </w:tcPr>
          <w:p>
            <w:pPr>
              <w:widowControl/>
              <w:spacing w:before="100" w:beforeAutospacing="1" w:after="100" w:afterAutospacing="1"/>
              <w:jc w:val="center"/>
              <w:rPr>
                <w:rFonts w:ascii="Arial" w:hAnsi="Arial" w:cs="Arial"/>
                <w:color w:val="auto"/>
                <w:kern w:val="0"/>
                <w:szCs w:val="21"/>
              </w:rPr>
            </w:pPr>
            <w:r>
              <w:rPr>
                <w:rFonts w:hint="eastAsia" w:ascii="Calibri" w:hAnsi="Calibri" w:cs="Calibri"/>
                <w:color w:val="auto"/>
                <w:szCs w:val="21"/>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59" w:hRule="atLeast"/>
        </w:trPr>
        <w:tc>
          <w:tcPr>
            <w:tcW w:w="2093" w:type="dxa"/>
          </w:tcPr>
          <w:p>
            <w:pPr>
              <w:widowControl/>
              <w:spacing w:before="100" w:beforeAutospacing="1" w:after="100" w:afterAutospacing="1"/>
              <w:jc w:val="center"/>
              <w:rPr>
                <w:rFonts w:ascii="Calibri" w:hAnsi="Calibri" w:cs="Calibri"/>
                <w:b/>
                <w:bCs/>
                <w:color w:val="auto"/>
                <w:szCs w:val="21"/>
              </w:rPr>
            </w:pPr>
            <w:r>
              <w:rPr>
                <w:rFonts w:hint="eastAsia" w:ascii="Calibri" w:hAnsi="Calibri" w:cs="Calibri"/>
                <w:b/>
                <w:bCs/>
                <w:color w:val="auto"/>
                <w:szCs w:val="21"/>
              </w:rPr>
              <w:t>……</w:t>
            </w:r>
          </w:p>
        </w:tc>
        <w:tc>
          <w:tcPr>
            <w:tcW w:w="2835" w:type="dxa"/>
          </w:tcPr>
          <w:p>
            <w:pPr>
              <w:widowControl/>
              <w:spacing w:before="100" w:beforeAutospacing="1" w:after="100" w:afterAutospacing="1"/>
              <w:jc w:val="center"/>
              <w:rPr>
                <w:rFonts w:ascii="Calibri" w:hAnsi="Arial" w:cs="Arial"/>
                <w:color w:val="auto"/>
                <w:szCs w:val="21"/>
              </w:rPr>
            </w:pPr>
          </w:p>
        </w:tc>
        <w:tc>
          <w:tcPr>
            <w:tcW w:w="2268" w:type="dxa"/>
          </w:tcPr>
          <w:p>
            <w:pPr>
              <w:widowControl/>
              <w:spacing w:before="100" w:beforeAutospacing="1" w:after="100" w:afterAutospacing="1"/>
              <w:ind w:firstLine="48" w:firstLineChars="15"/>
              <w:jc w:val="center"/>
              <w:rPr>
                <w:rFonts w:ascii="Calibri" w:hAnsi="Calibri" w:cs="Calibri"/>
                <w:color w:val="auto"/>
                <w:szCs w:val="21"/>
              </w:rPr>
            </w:pPr>
          </w:p>
        </w:tc>
        <w:tc>
          <w:tcPr>
            <w:tcW w:w="2255" w:type="dxa"/>
          </w:tcPr>
          <w:p>
            <w:pPr>
              <w:widowControl/>
              <w:spacing w:before="100" w:beforeAutospacing="1" w:after="100" w:afterAutospacing="1"/>
              <w:jc w:val="center"/>
              <w:rPr>
                <w:rFonts w:ascii="Calibri" w:hAnsi="Calibri" w:cs="Calibri"/>
                <w:color w:val="auto"/>
                <w:szCs w:val="21"/>
              </w:rPr>
            </w:pPr>
            <w:r>
              <w:rPr>
                <w:rFonts w:hint="eastAsia" w:ascii="Calibri" w:hAnsi="Calibri" w:cs="Calibri"/>
                <w:b/>
                <w:bCs/>
                <w:color w:val="auto"/>
                <w:szCs w:val="21"/>
              </w:rPr>
              <w:t>……</w:t>
            </w:r>
          </w:p>
        </w:tc>
      </w:tr>
    </w:tbl>
    <w:p>
      <w:pPr>
        <w:spacing w:line="360" w:lineRule="auto"/>
        <w:ind w:firstLine="420" w:firstLineChars="200"/>
        <w:rPr>
          <w:rFonts w:ascii="宋体"/>
        </w:rPr>
      </w:pPr>
      <w:r>
        <w:rPr>
          <w:rFonts w:hint="eastAsia" w:ascii="宋体"/>
        </w:rPr>
        <w:t>短泊车发车时间仅作参考（根据成品或物料装运情况适当调整）</w:t>
      </w:r>
    </w:p>
    <w:p>
      <w:pPr>
        <w:spacing w:line="360" w:lineRule="auto"/>
        <w:ind w:firstLine="482" w:firstLineChars="200"/>
        <w:rPr>
          <w:rFonts w:ascii="宋体"/>
          <w:sz w:val="24"/>
        </w:rPr>
      </w:pPr>
      <w:r>
        <w:rPr>
          <w:rFonts w:hint="eastAsia" w:ascii="宋体"/>
          <w:b/>
          <w:sz w:val="24"/>
        </w:rPr>
        <w:t>2</w:t>
      </w:r>
      <w:r>
        <w:rPr>
          <w:rFonts w:ascii="宋体"/>
          <w:b/>
          <w:sz w:val="24"/>
        </w:rPr>
        <w:t>.2</w:t>
      </w:r>
      <w:r>
        <w:rPr>
          <w:rFonts w:hint="eastAsia" w:ascii="宋体"/>
          <w:b/>
          <w:sz w:val="24"/>
        </w:rPr>
        <w:t>公开招标有效期</w:t>
      </w:r>
      <w:r>
        <w:rPr>
          <w:rFonts w:ascii="宋体"/>
          <w:b/>
          <w:sz w:val="24"/>
        </w:rPr>
        <w:t xml:space="preserve">: </w:t>
      </w:r>
      <w:r>
        <w:rPr>
          <w:rFonts w:ascii="宋体"/>
          <w:sz w:val="24"/>
        </w:rPr>
        <w:t>90</w:t>
      </w:r>
      <w:r>
        <w:rPr>
          <w:rFonts w:hint="eastAsia" w:ascii="宋体"/>
          <w:sz w:val="24"/>
        </w:rPr>
        <w:t>天。</w:t>
      </w:r>
    </w:p>
    <w:p>
      <w:pPr>
        <w:spacing w:line="360" w:lineRule="auto"/>
        <w:ind w:firstLine="482" w:firstLineChars="200"/>
        <w:rPr>
          <w:rFonts w:ascii="宋体"/>
          <w:b/>
          <w:sz w:val="24"/>
        </w:rPr>
      </w:pPr>
      <w:bookmarkStart w:id="19" w:name="_Toc246392113"/>
      <w:bookmarkStart w:id="20" w:name="_Toc144974560"/>
      <w:bookmarkStart w:id="21" w:name="_Toc152042370"/>
      <w:bookmarkStart w:id="22" w:name="_Toc152045593"/>
      <w:r>
        <w:rPr>
          <w:rFonts w:hint="eastAsia" w:ascii="宋体"/>
          <w:b/>
          <w:sz w:val="24"/>
        </w:rPr>
        <w:t>2</w:t>
      </w:r>
      <w:r>
        <w:rPr>
          <w:rFonts w:ascii="宋体"/>
          <w:b/>
          <w:sz w:val="24"/>
        </w:rPr>
        <w:t>.</w:t>
      </w:r>
      <w:r>
        <w:rPr>
          <w:rFonts w:hint="eastAsia" w:ascii="宋体"/>
          <w:b/>
          <w:sz w:val="24"/>
        </w:rPr>
        <w:t>3投标文件至少应包括：</w:t>
      </w:r>
    </w:p>
    <w:p>
      <w:pPr>
        <w:spacing w:line="360" w:lineRule="auto"/>
        <w:ind w:firstLine="420" w:firstLineChars="200"/>
        <w:rPr>
          <w:rFonts w:ascii="宋体"/>
          <w:szCs w:val="21"/>
        </w:rPr>
      </w:pPr>
      <w:r>
        <w:rPr>
          <w:rFonts w:hint="eastAsia" w:ascii="宋体"/>
          <w:szCs w:val="21"/>
        </w:rPr>
        <w:t>报价函</w:t>
      </w:r>
    </w:p>
    <w:p>
      <w:pPr>
        <w:spacing w:line="360" w:lineRule="auto"/>
        <w:ind w:firstLine="420" w:firstLineChars="200"/>
        <w:rPr>
          <w:rFonts w:ascii="宋体"/>
          <w:szCs w:val="21"/>
        </w:rPr>
      </w:pPr>
      <w:r>
        <w:rPr>
          <w:rFonts w:hint="eastAsia" w:ascii="宋体"/>
          <w:szCs w:val="21"/>
        </w:rPr>
        <w:t>法定代表人授权委托书</w:t>
      </w:r>
    </w:p>
    <w:p>
      <w:pPr>
        <w:spacing w:line="360" w:lineRule="auto"/>
        <w:ind w:firstLine="420" w:firstLineChars="200"/>
        <w:rPr>
          <w:rFonts w:ascii="宋体"/>
          <w:szCs w:val="21"/>
        </w:rPr>
      </w:pPr>
      <w:r>
        <w:rPr>
          <w:rFonts w:hint="eastAsia" w:ascii="宋体"/>
          <w:szCs w:val="21"/>
        </w:rPr>
        <w:t>投标人有效的营业执照</w:t>
      </w:r>
    </w:p>
    <w:p>
      <w:pPr>
        <w:spacing w:line="360" w:lineRule="auto"/>
        <w:ind w:firstLine="420" w:firstLineChars="200"/>
        <w:rPr>
          <w:rFonts w:ascii="宋体"/>
          <w:szCs w:val="21"/>
        </w:rPr>
      </w:pPr>
      <w:r>
        <w:rPr>
          <w:rFonts w:hint="eastAsia" w:ascii="宋体"/>
          <w:szCs w:val="21"/>
        </w:rPr>
        <w:t>道路运输经营许可证</w:t>
      </w:r>
    </w:p>
    <w:p>
      <w:pPr>
        <w:spacing w:line="360" w:lineRule="auto"/>
        <w:ind w:firstLine="420" w:firstLineChars="200"/>
        <w:rPr>
          <w:rFonts w:ascii="宋体"/>
          <w:szCs w:val="21"/>
        </w:rPr>
      </w:pPr>
      <w:r>
        <w:rPr>
          <w:rFonts w:hint="eastAsia" w:ascii="宋体"/>
          <w:szCs w:val="21"/>
        </w:rPr>
        <w:t>设备及人员投入清单</w:t>
      </w:r>
    </w:p>
    <w:p>
      <w:pPr>
        <w:spacing w:line="360" w:lineRule="auto"/>
        <w:ind w:firstLine="420" w:firstLineChars="200"/>
        <w:rPr>
          <w:rFonts w:ascii="宋体"/>
          <w:szCs w:val="21"/>
        </w:rPr>
      </w:pPr>
      <w:r>
        <w:rPr>
          <w:rFonts w:hint="eastAsia" w:ascii="宋体"/>
          <w:szCs w:val="21"/>
        </w:rPr>
        <w:t>从事医药物流运作经验证明文件</w:t>
      </w:r>
    </w:p>
    <w:p>
      <w:pPr>
        <w:spacing w:line="360" w:lineRule="auto"/>
        <w:ind w:firstLine="482" w:firstLineChars="200"/>
        <w:rPr>
          <w:rFonts w:ascii="宋体"/>
          <w:b/>
          <w:sz w:val="24"/>
        </w:rPr>
      </w:pPr>
      <w:r>
        <w:rPr>
          <w:rFonts w:hint="eastAsia" w:ascii="宋体"/>
          <w:b/>
          <w:sz w:val="24"/>
        </w:rPr>
        <w:t>2</w:t>
      </w:r>
      <w:r>
        <w:rPr>
          <w:rFonts w:ascii="宋体"/>
          <w:b/>
          <w:sz w:val="24"/>
        </w:rPr>
        <w:t>.</w:t>
      </w:r>
      <w:r>
        <w:rPr>
          <w:rFonts w:hint="eastAsia" w:ascii="宋体"/>
          <w:b/>
          <w:sz w:val="24"/>
        </w:rPr>
        <w:t>4投标文件的密封和标记：</w:t>
      </w:r>
    </w:p>
    <w:p>
      <w:pPr>
        <w:spacing w:line="360" w:lineRule="auto"/>
        <w:ind w:firstLine="420" w:firstLineChars="200"/>
        <w:rPr>
          <w:rFonts w:ascii="宋体"/>
          <w:szCs w:val="21"/>
        </w:rPr>
      </w:pPr>
      <w:r>
        <w:rPr>
          <w:rFonts w:hint="eastAsia" w:ascii="宋体"/>
          <w:szCs w:val="21"/>
        </w:rPr>
        <w:t>2</w:t>
      </w:r>
      <w:r>
        <w:rPr>
          <w:rFonts w:ascii="宋体"/>
          <w:szCs w:val="21"/>
        </w:rPr>
        <w:t>.</w:t>
      </w:r>
      <w:r>
        <w:rPr>
          <w:rFonts w:hint="eastAsia" w:ascii="宋体"/>
          <w:szCs w:val="21"/>
        </w:rPr>
        <w:t>4</w:t>
      </w:r>
      <w:r>
        <w:rPr>
          <w:rFonts w:ascii="宋体"/>
          <w:szCs w:val="21"/>
        </w:rPr>
        <w:t>.1</w:t>
      </w:r>
      <w:r>
        <w:rPr>
          <w:rFonts w:hint="eastAsia" w:ascii="宋体"/>
          <w:szCs w:val="21"/>
        </w:rPr>
        <w:t>投标文件应密封包装，并在封套的封口处加盖投标单位公章。</w:t>
      </w:r>
    </w:p>
    <w:p>
      <w:pPr>
        <w:spacing w:line="360" w:lineRule="auto"/>
        <w:ind w:firstLine="1"/>
        <w:rPr>
          <w:rFonts w:ascii="宋体"/>
          <w:b/>
          <w:sz w:val="28"/>
          <w:szCs w:val="28"/>
        </w:rPr>
      </w:pPr>
      <w:r>
        <w:rPr>
          <w:rFonts w:hint="eastAsia" w:ascii="宋体"/>
          <w:b/>
          <w:sz w:val="28"/>
          <w:szCs w:val="28"/>
        </w:rPr>
        <w:t>3.开标</w:t>
      </w:r>
    </w:p>
    <w:p>
      <w:pPr>
        <w:spacing w:line="360" w:lineRule="auto"/>
        <w:ind w:firstLine="420" w:firstLineChars="200"/>
        <w:rPr>
          <w:rFonts w:ascii="宋体"/>
          <w:szCs w:val="21"/>
        </w:rPr>
      </w:pPr>
      <w:r>
        <w:rPr>
          <w:rFonts w:hint="eastAsia" w:ascii="宋体"/>
          <w:szCs w:val="21"/>
        </w:rPr>
        <w:t>3.1 开标时间和地点</w:t>
      </w:r>
    </w:p>
    <w:p>
      <w:pPr>
        <w:spacing w:line="360" w:lineRule="auto"/>
        <w:ind w:firstLine="420" w:firstLineChars="200"/>
        <w:rPr>
          <w:rFonts w:ascii="宋体"/>
          <w:szCs w:val="21"/>
        </w:rPr>
      </w:pPr>
      <w:r>
        <w:rPr>
          <w:rFonts w:hint="eastAsia" w:ascii="宋体"/>
          <w:szCs w:val="21"/>
        </w:rPr>
        <w:t>3.1.1 开标时间：</w:t>
      </w:r>
      <w:r>
        <w:rPr>
          <w:rFonts w:hint="eastAsia" w:ascii="宋体" w:hAnsi="宋体" w:cs="宋体"/>
          <w:color w:val="000000"/>
          <w:kern w:val="0"/>
          <w:szCs w:val="21"/>
        </w:rPr>
        <w:t>2020年02月10日9时00分</w:t>
      </w:r>
      <w:r>
        <w:rPr>
          <w:rFonts w:hint="eastAsia" w:ascii="宋体"/>
          <w:szCs w:val="21"/>
        </w:rPr>
        <w:t>（北京时间）</w:t>
      </w:r>
    </w:p>
    <w:p>
      <w:pPr>
        <w:spacing w:line="360" w:lineRule="auto"/>
        <w:ind w:left="1982" w:leftChars="199" w:hanging="1564" w:hangingChars="745"/>
        <w:rPr>
          <w:rFonts w:ascii="宋体"/>
          <w:szCs w:val="21"/>
        </w:rPr>
      </w:pPr>
      <w:r>
        <w:rPr>
          <w:rFonts w:hint="eastAsia" w:ascii="宋体"/>
          <w:szCs w:val="21"/>
        </w:rPr>
        <w:t>3.1.2开标地点：</w:t>
      </w:r>
      <w:r>
        <w:rPr>
          <w:rFonts w:hint="eastAsia" w:ascii="宋体"/>
          <w:color w:val="FF0000"/>
          <w:szCs w:val="21"/>
        </w:rPr>
        <w:t>杭州萧山国际机场翔越路综合服务楼园区招标中心（翔飞路与12号路交叉口西北50米）</w:t>
      </w:r>
    </w:p>
    <w:p>
      <w:pPr>
        <w:spacing w:line="360" w:lineRule="auto"/>
        <w:ind w:firstLine="420" w:firstLineChars="200"/>
        <w:rPr>
          <w:rFonts w:ascii="宋体"/>
          <w:szCs w:val="21"/>
        </w:rPr>
      </w:pPr>
      <w:r>
        <w:rPr>
          <w:rFonts w:hint="eastAsia" w:ascii="宋体"/>
          <w:szCs w:val="21"/>
        </w:rPr>
        <w:t>3.2 开标程序</w:t>
      </w:r>
    </w:p>
    <w:p>
      <w:pPr>
        <w:spacing w:line="360" w:lineRule="auto"/>
        <w:ind w:firstLine="420" w:firstLineChars="200"/>
        <w:rPr>
          <w:rFonts w:ascii="宋体"/>
          <w:szCs w:val="21"/>
        </w:rPr>
      </w:pPr>
      <w:r>
        <w:rPr>
          <w:rFonts w:hint="eastAsia" w:ascii="宋体"/>
          <w:szCs w:val="21"/>
        </w:rPr>
        <w:t>主持人按下列程序进行开标：</w:t>
      </w:r>
    </w:p>
    <w:p>
      <w:pPr>
        <w:spacing w:line="360" w:lineRule="auto"/>
        <w:ind w:firstLine="420" w:firstLineChars="200"/>
        <w:rPr>
          <w:rFonts w:ascii="宋体"/>
          <w:szCs w:val="21"/>
        </w:rPr>
      </w:pPr>
      <w:r>
        <w:rPr>
          <w:rFonts w:hint="eastAsia" w:ascii="宋体"/>
          <w:szCs w:val="21"/>
        </w:rPr>
        <w:t>（1）宣布开标纪律；</w:t>
      </w:r>
    </w:p>
    <w:p>
      <w:pPr>
        <w:spacing w:line="360" w:lineRule="auto"/>
        <w:ind w:firstLine="420" w:firstLineChars="200"/>
        <w:rPr>
          <w:rFonts w:ascii="宋体"/>
          <w:szCs w:val="21"/>
        </w:rPr>
      </w:pPr>
      <w:r>
        <w:rPr>
          <w:rFonts w:hint="eastAsia" w:ascii="宋体"/>
          <w:szCs w:val="21"/>
        </w:rPr>
        <w:t>（2）公布在投标截止时间前递交投标文件的投标人名称；</w:t>
      </w:r>
    </w:p>
    <w:p>
      <w:pPr>
        <w:spacing w:line="360" w:lineRule="auto"/>
        <w:ind w:firstLine="420" w:firstLineChars="200"/>
        <w:rPr>
          <w:rFonts w:ascii="宋体"/>
          <w:szCs w:val="21"/>
        </w:rPr>
      </w:pPr>
      <w:r>
        <w:rPr>
          <w:rFonts w:hint="eastAsia" w:ascii="宋体"/>
          <w:szCs w:val="21"/>
        </w:rPr>
        <w:t>（3）宣布开标人、唱标人、记录人、监标人等有关人员姓名；</w:t>
      </w:r>
    </w:p>
    <w:p>
      <w:pPr>
        <w:spacing w:line="360" w:lineRule="auto"/>
        <w:ind w:firstLine="420" w:firstLineChars="200"/>
        <w:rPr>
          <w:rFonts w:ascii="宋体"/>
          <w:szCs w:val="21"/>
        </w:rPr>
      </w:pPr>
      <w:r>
        <w:rPr>
          <w:rFonts w:hint="eastAsia" w:ascii="宋体"/>
          <w:szCs w:val="21"/>
        </w:rPr>
        <w:t>（4）按照投标人须知前附表规定检查投标文件的密封情况；</w:t>
      </w:r>
    </w:p>
    <w:p>
      <w:pPr>
        <w:spacing w:line="360" w:lineRule="auto"/>
        <w:ind w:firstLine="420" w:firstLineChars="200"/>
        <w:rPr>
          <w:rFonts w:ascii="宋体"/>
          <w:szCs w:val="21"/>
        </w:rPr>
      </w:pPr>
      <w:r>
        <w:rPr>
          <w:rFonts w:hint="eastAsia" w:ascii="宋体"/>
          <w:szCs w:val="21"/>
        </w:rPr>
        <w:t>（5）按照投标人须知前附表的规定确定并宣布投标文件开标顺序；</w:t>
      </w:r>
    </w:p>
    <w:p>
      <w:pPr>
        <w:spacing w:line="360" w:lineRule="auto"/>
        <w:ind w:firstLine="420" w:firstLineChars="200"/>
        <w:rPr>
          <w:rFonts w:ascii="宋体"/>
          <w:szCs w:val="21"/>
        </w:rPr>
      </w:pPr>
      <w:r>
        <w:rPr>
          <w:rFonts w:hint="eastAsia" w:ascii="宋体"/>
          <w:szCs w:val="21"/>
        </w:rPr>
        <w:t>（6）按照宣布的开标顺序当众开标，公布投标人名称、投标报价，并记录在案；</w:t>
      </w:r>
    </w:p>
    <w:p>
      <w:pPr>
        <w:spacing w:line="360" w:lineRule="auto"/>
        <w:ind w:firstLine="420" w:firstLineChars="200"/>
        <w:rPr>
          <w:rFonts w:ascii="宋体"/>
          <w:szCs w:val="21"/>
        </w:rPr>
      </w:pPr>
      <w:r>
        <w:rPr>
          <w:rFonts w:hint="eastAsia" w:ascii="宋体"/>
          <w:szCs w:val="21"/>
        </w:rPr>
        <w:t>（7）招标人代表、监标人、记录人等有关人员在开标记录上签字确认；</w:t>
      </w:r>
    </w:p>
    <w:p>
      <w:pPr>
        <w:spacing w:line="360" w:lineRule="auto"/>
        <w:ind w:firstLine="420" w:firstLineChars="200"/>
        <w:rPr>
          <w:rFonts w:ascii="宋体"/>
          <w:szCs w:val="21"/>
        </w:rPr>
      </w:pPr>
      <w:r>
        <w:rPr>
          <w:rFonts w:hint="eastAsia" w:ascii="宋体"/>
          <w:szCs w:val="21"/>
        </w:rPr>
        <w:t>（8）开标结束。</w:t>
      </w:r>
    </w:p>
    <w:p>
      <w:pPr>
        <w:spacing w:line="360" w:lineRule="auto"/>
        <w:ind w:firstLine="1"/>
        <w:rPr>
          <w:rFonts w:ascii="宋体"/>
          <w:b/>
          <w:sz w:val="28"/>
          <w:szCs w:val="28"/>
        </w:rPr>
      </w:pPr>
      <w:bookmarkStart w:id="23" w:name="_Toc31578"/>
      <w:r>
        <w:rPr>
          <w:rFonts w:hint="eastAsia" w:ascii="宋体"/>
          <w:b/>
          <w:sz w:val="28"/>
          <w:szCs w:val="28"/>
        </w:rPr>
        <w:t>4</w:t>
      </w:r>
      <w:r>
        <w:rPr>
          <w:rFonts w:ascii="宋体"/>
          <w:b/>
          <w:sz w:val="28"/>
          <w:szCs w:val="28"/>
        </w:rPr>
        <w:t>.评标</w:t>
      </w:r>
      <w:bookmarkEnd w:id="23"/>
    </w:p>
    <w:p>
      <w:pPr>
        <w:spacing w:line="360" w:lineRule="auto"/>
        <w:ind w:firstLine="440" w:firstLineChars="200"/>
        <w:rPr>
          <w:rFonts w:ascii="宋体" w:hAnsi="宋体" w:cs="Calibri"/>
          <w:bCs/>
          <w:kern w:val="0"/>
          <w:sz w:val="22"/>
        </w:rPr>
      </w:pPr>
      <w:bookmarkStart w:id="24" w:name="_Toc10279"/>
      <w:r>
        <w:rPr>
          <w:rFonts w:hint="eastAsia" w:ascii="宋体" w:hAnsi="宋体" w:cs="Calibri"/>
          <w:bCs/>
          <w:kern w:val="0"/>
          <w:sz w:val="22"/>
        </w:rPr>
        <w:t>4</w:t>
      </w:r>
      <w:r>
        <w:rPr>
          <w:rFonts w:ascii="宋体" w:hAnsi="宋体" w:cs="Calibri"/>
          <w:bCs/>
          <w:kern w:val="0"/>
          <w:sz w:val="22"/>
        </w:rPr>
        <w:t>.1 评标委员会</w:t>
      </w:r>
      <w:bookmarkEnd w:id="24"/>
    </w:p>
    <w:p>
      <w:pPr>
        <w:adjustRightInd w:val="0"/>
        <w:snapToGrid w:val="0"/>
        <w:spacing w:line="360" w:lineRule="exact"/>
        <w:ind w:left="991" w:leftChars="202" w:hanging="567"/>
        <w:jc w:val="left"/>
        <w:rPr>
          <w:rFonts w:ascii="宋体" w:hAnsi="宋体" w:cs="Calibri"/>
          <w:kern w:val="0"/>
          <w:sz w:val="22"/>
        </w:rPr>
      </w:pPr>
      <w:r>
        <w:rPr>
          <w:rFonts w:hint="eastAsia" w:ascii="宋体" w:hAnsi="宋体" w:cs="Calibri"/>
          <w:kern w:val="0"/>
          <w:sz w:val="22"/>
        </w:rPr>
        <w:t>4</w:t>
      </w:r>
      <w:r>
        <w:rPr>
          <w:rFonts w:ascii="宋体" w:hAnsi="宋体" w:cs="Calibri"/>
          <w:kern w:val="0"/>
          <w:sz w:val="22"/>
        </w:rPr>
        <w:t>.1.1评标由招标人依法组建的评标委员会负责。评标委员会成员人数以及技术、经济等方面专家的确定方式见投标人须知前附表。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w:t>
      </w:r>
      <w:r>
        <w:rPr>
          <w:rFonts w:ascii="宋体" w:hAnsi="宋体" w:cs="Calibri"/>
          <w:kern w:val="0"/>
          <w:sz w:val="22"/>
        </w:rPr>
        <w:t>.1.2评标委员会成员有下列情形之一的，应当回避：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left="1132" w:leftChars="270" w:hanging="565" w:hangingChars="257"/>
        <w:jc w:val="left"/>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djustRightInd w:val="0"/>
        <w:snapToGrid w:val="0"/>
        <w:spacing w:line="360" w:lineRule="exact"/>
        <w:ind w:firstLine="440"/>
        <w:rPr>
          <w:rFonts w:ascii="宋体" w:hAnsi="宋体" w:cs="Calibri"/>
          <w:kern w:val="0"/>
          <w:sz w:val="22"/>
        </w:rPr>
      </w:pPr>
      <w:bookmarkStart w:id="25" w:name="_Toc3460"/>
      <w:r>
        <w:rPr>
          <w:rFonts w:hint="eastAsia" w:ascii="宋体" w:hAnsi="宋体" w:cs="Calibri"/>
          <w:kern w:val="0"/>
          <w:sz w:val="22"/>
        </w:rPr>
        <w:t>4</w:t>
      </w:r>
      <w:r>
        <w:rPr>
          <w:rFonts w:ascii="宋体" w:hAnsi="宋体" w:cs="Calibri"/>
          <w:kern w:val="0"/>
          <w:sz w:val="22"/>
        </w:rPr>
        <w:t>.2 评标原则</w:t>
      </w:r>
      <w:bookmarkEnd w:id="25"/>
    </w:p>
    <w:p>
      <w:pPr>
        <w:adjustRightInd w:val="0"/>
        <w:snapToGrid w:val="0"/>
        <w:spacing w:line="360" w:lineRule="exact"/>
        <w:ind w:left="850" w:leftChars="405"/>
        <w:jc w:val="left"/>
        <w:rPr>
          <w:rFonts w:ascii="宋体" w:hAnsi="宋体" w:cs="Calibri"/>
          <w:kern w:val="0"/>
          <w:sz w:val="22"/>
        </w:rPr>
      </w:pPr>
      <w:r>
        <w:rPr>
          <w:rFonts w:ascii="宋体" w:hAnsi="宋体" w:cs="Calibri"/>
          <w:kern w:val="0"/>
          <w:sz w:val="22"/>
        </w:rPr>
        <w:t>评标活动遵循公平、公正、科学和择优的原则。</w:t>
      </w:r>
    </w:p>
    <w:p>
      <w:pPr>
        <w:adjustRightInd w:val="0"/>
        <w:snapToGrid w:val="0"/>
        <w:spacing w:line="360" w:lineRule="exact"/>
        <w:ind w:firstLine="440"/>
        <w:rPr>
          <w:rFonts w:ascii="宋体" w:hAnsi="宋体" w:cs="Calibri"/>
          <w:kern w:val="0"/>
          <w:sz w:val="22"/>
        </w:rPr>
      </w:pPr>
      <w:bookmarkStart w:id="26" w:name="_Toc28178"/>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3</w:t>
      </w:r>
      <w:r>
        <w:rPr>
          <w:rFonts w:ascii="宋体" w:hAnsi="宋体" w:cs="Calibri"/>
          <w:kern w:val="0"/>
          <w:sz w:val="22"/>
        </w:rPr>
        <w:t xml:space="preserve"> </w:t>
      </w:r>
      <w:r>
        <w:rPr>
          <w:rFonts w:hint="eastAsia" w:ascii="宋体" w:hAnsi="宋体" w:cs="Calibri"/>
          <w:kern w:val="0"/>
          <w:sz w:val="22"/>
        </w:rPr>
        <w:t>评标办法（经评审的最低投标价法）</w:t>
      </w:r>
      <w:bookmarkEnd w:id="26"/>
    </w:p>
    <w:p>
      <w:pPr>
        <w:spacing w:line="360" w:lineRule="auto"/>
        <w:ind w:left="850" w:leftChars="405"/>
        <w:jc w:val="left"/>
        <w:rPr>
          <w:rFonts w:ascii="宋体" w:hAnsi="宋体" w:cs="Calibri"/>
          <w:kern w:val="0"/>
          <w:sz w:val="22"/>
        </w:rPr>
      </w:pPr>
      <w:r>
        <w:rPr>
          <w:rFonts w:hint="eastAsia" w:ascii="宋体" w:hAnsi="宋体" w:cs="Calibri"/>
          <w:kern w:val="0"/>
          <w:sz w:val="22"/>
        </w:rPr>
        <w:t>本次评标采用经评审的最低投标价法。</w:t>
      </w:r>
    </w:p>
    <w:p>
      <w:pPr>
        <w:spacing w:line="360" w:lineRule="auto"/>
        <w:ind w:left="851" w:leftChars="203" w:hanging="425" w:hangingChars="193"/>
        <w:jc w:val="left"/>
        <w:rPr>
          <w:rFonts w:ascii="宋体" w:hAnsi="宋体" w:cs="Calibri"/>
          <w:kern w:val="0"/>
          <w:sz w:val="22"/>
        </w:rPr>
      </w:pP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4投标价计算方法：</w:t>
      </w:r>
    </w:p>
    <w:p>
      <w:pPr>
        <w:spacing w:line="360" w:lineRule="auto"/>
        <w:ind w:left="850" w:leftChars="405"/>
        <w:jc w:val="left"/>
        <w:rPr>
          <w:rFonts w:ascii="宋体" w:hAnsi="宋体" w:cs="Calibri"/>
          <w:kern w:val="0"/>
          <w:sz w:val="22"/>
        </w:rPr>
      </w:pPr>
      <w:r>
        <w:rPr>
          <w:rFonts w:hint="eastAsia" w:ascii="宋体" w:hAnsi="宋体" w:cs="Calibri"/>
          <w:kern w:val="0"/>
          <w:sz w:val="22"/>
        </w:rPr>
        <w:t>投标价=“20吨拖车固定使用费”*2+“厢式挂车固定使用费”*4+“人员费用”*2+“变动费用”*220</w:t>
      </w:r>
    </w:p>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公开招标日程安排</w:t>
      </w:r>
    </w:p>
    <w:bookmarkEnd w:id="16"/>
    <w:bookmarkEnd w:id="17"/>
    <w:bookmarkEnd w:id="19"/>
    <w:bookmarkEnd w:id="20"/>
    <w:bookmarkEnd w:id="21"/>
    <w:bookmarkEnd w:id="22"/>
    <w:tbl>
      <w:tblPr>
        <w:tblStyle w:val="24"/>
        <w:tblW w:w="8700"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73"/>
        <w:gridCol w:w="5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7" w:hRule="atLeast"/>
        </w:trPr>
        <w:tc>
          <w:tcPr>
            <w:tcW w:w="3473" w:type="dxa"/>
            <w:shd w:val="clear" w:color="auto" w:fill="92D050"/>
            <w:tcMar>
              <w:top w:w="15" w:type="dxa"/>
              <w:left w:w="15" w:type="dxa"/>
              <w:right w:w="15" w:type="dxa"/>
            </w:tcMar>
            <w:vAlign w:val="center"/>
          </w:tcPr>
          <w:p>
            <w:pPr>
              <w:widowControl/>
              <w:jc w:val="center"/>
              <w:textAlignment w:val="center"/>
              <w:rPr>
                <w:rFonts w:ascii="宋体" w:hAnsi="宋体" w:cs="宋体"/>
                <w:b/>
                <w:bCs/>
                <w:color w:val="FFFFFF"/>
                <w:sz w:val="24"/>
              </w:rPr>
            </w:pPr>
            <w:r>
              <w:rPr>
                <w:rFonts w:ascii="宋体" w:hAnsi="宋体" w:cs="宋体"/>
                <w:b/>
                <w:bCs/>
                <w:color w:val="FFFFFF"/>
                <w:kern w:val="0"/>
                <w:sz w:val="24"/>
              </w:rPr>
              <w:t>完成日期</w:t>
            </w:r>
          </w:p>
        </w:tc>
        <w:tc>
          <w:tcPr>
            <w:tcW w:w="5227" w:type="dxa"/>
            <w:shd w:val="clear" w:color="auto" w:fill="92D050"/>
            <w:tcMar>
              <w:top w:w="15" w:type="dxa"/>
              <w:left w:w="15" w:type="dxa"/>
              <w:right w:w="15" w:type="dxa"/>
            </w:tcMar>
            <w:vAlign w:val="center"/>
          </w:tcPr>
          <w:p>
            <w:pPr>
              <w:widowControl/>
              <w:jc w:val="center"/>
              <w:textAlignment w:val="center"/>
              <w:rPr>
                <w:rFonts w:ascii="宋体" w:hAnsi="宋体" w:cs="宋体"/>
                <w:b/>
                <w:bCs/>
                <w:color w:val="FFFFFF"/>
                <w:sz w:val="24"/>
              </w:rPr>
            </w:pPr>
            <w:r>
              <w:rPr>
                <w:rFonts w:hint="eastAsia" w:ascii="宋体" w:hAnsi="宋体" w:cs="宋体"/>
                <w:b/>
                <w:bCs/>
                <w:color w:val="FFFFFF"/>
                <w:kern w:val="0"/>
                <w:sz w:val="24"/>
              </w:rPr>
              <w:t>行动描述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3473" w:type="dxa"/>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2020年01月20日</w:t>
            </w:r>
          </w:p>
        </w:tc>
        <w:tc>
          <w:tcPr>
            <w:tcW w:w="5227" w:type="dxa"/>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发出招标书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5" w:hRule="atLeast"/>
        </w:trPr>
        <w:tc>
          <w:tcPr>
            <w:tcW w:w="3473" w:type="dxa"/>
            <w:shd w:val="clear" w:color="auto" w:fill="auto"/>
            <w:tcMar>
              <w:top w:w="15" w:type="dxa"/>
              <w:left w:w="15" w:type="dxa"/>
              <w:right w:w="15" w:type="dxa"/>
            </w:tcMar>
            <w:vAlign w:val="center"/>
          </w:tcPr>
          <w:p>
            <w:pPr>
              <w:jc w:val="left"/>
              <w:rPr>
                <w:rFonts w:ascii="宋体" w:hAnsi="宋体" w:cs="宋体"/>
                <w:color w:val="000000"/>
                <w:kern w:val="0"/>
                <w:sz w:val="22"/>
                <w:szCs w:val="22"/>
              </w:rPr>
            </w:pPr>
            <w:r>
              <w:rPr>
                <w:rFonts w:hint="eastAsia" w:ascii="宋体" w:hAnsi="宋体" w:cs="宋体"/>
                <w:color w:val="000000"/>
                <w:kern w:val="0"/>
                <w:sz w:val="22"/>
                <w:szCs w:val="22"/>
              </w:rPr>
              <w:t>2020年01月21日至</w:t>
            </w:r>
          </w:p>
          <w:p>
            <w:pPr>
              <w:jc w:val="left"/>
              <w:rPr>
                <w:rFonts w:ascii="宋体" w:hAnsi="宋体" w:cs="宋体"/>
                <w:color w:val="000000"/>
                <w:sz w:val="22"/>
                <w:szCs w:val="22"/>
              </w:rPr>
            </w:pPr>
            <w:r>
              <w:rPr>
                <w:rFonts w:hint="eastAsia" w:ascii="宋体" w:hAnsi="宋体" w:cs="宋体"/>
                <w:color w:val="000000"/>
                <w:kern w:val="0"/>
                <w:sz w:val="22"/>
                <w:szCs w:val="22"/>
              </w:rPr>
              <w:t>2020年02月10日9时00分</w:t>
            </w:r>
          </w:p>
        </w:tc>
        <w:tc>
          <w:tcPr>
            <w:tcW w:w="5227" w:type="dxa"/>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投标人提交标书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5" w:hRule="atLeast"/>
        </w:trPr>
        <w:tc>
          <w:tcPr>
            <w:tcW w:w="3473" w:type="dxa"/>
            <w:shd w:val="clear" w:color="auto" w:fill="auto"/>
            <w:tcMar>
              <w:top w:w="15" w:type="dxa"/>
              <w:left w:w="15" w:type="dxa"/>
              <w:right w:w="15" w:type="dxa"/>
            </w:tcMar>
            <w:vAlign w:val="center"/>
          </w:tcPr>
          <w:p>
            <w:pPr>
              <w:jc w:val="left"/>
              <w:rPr>
                <w:rFonts w:ascii="宋体" w:hAnsi="宋体" w:cs="宋体"/>
                <w:color w:val="000000"/>
                <w:sz w:val="22"/>
                <w:szCs w:val="22"/>
              </w:rPr>
            </w:pPr>
            <w:r>
              <w:rPr>
                <w:rFonts w:hint="eastAsia" w:ascii="宋体" w:hAnsi="宋体" w:cs="宋体"/>
                <w:color w:val="000000"/>
                <w:kern w:val="0"/>
                <w:sz w:val="22"/>
                <w:szCs w:val="22"/>
              </w:rPr>
              <w:t>2020年02月10日9时00分</w:t>
            </w:r>
          </w:p>
        </w:tc>
        <w:tc>
          <w:tcPr>
            <w:tcW w:w="5227" w:type="dxa"/>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投标文件投递截止时间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5" w:hRule="atLeast"/>
        </w:trPr>
        <w:tc>
          <w:tcPr>
            <w:tcW w:w="3473" w:type="dxa"/>
            <w:shd w:val="clear" w:color="auto" w:fill="FFFFFF"/>
            <w:tcMar>
              <w:top w:w="15" w:type="dxa"/>
              <w:left w:w="15" w:type="dxa"/>
              <w:right w:w="15" w:type="dxa"/>
            </w:tcMar>
            <w:vAlign w:val="center"/>
          </w:tcPr>
          <w:p>
            <w:pPr>
              <w:jc w:val="left"/>
              <w:rPr>
                <w:rFonts w:ascii="宋体" w:hAnsi="宋体" w:cs="宋体"/>
                <w:color w:val="000000"/>
                <w:kern w:val="0"/>
                <w:sz w:val="22"/>
                <w:szCs w:val="22"/>
              </w:rPr>
            </w:pPr>
            <w:r>
              <w:rPr>
                <w:rFonts w:hint="eastAsia" w:ascii="宋体" w:hAnsi="宋体" w:cs="宋体"/>
                <w:color w:val="000000"/>
                <w:kern w:val="0"/>
                <w:sz w:val="22"/>
                <w:szCs w:val="22"/>
              </w:rPr>
              <w:t>2020年02月10日9时00分至</w:t>
            </w:r>
          </w:p>
          <w:p>
            <w:pPr>
              <w:jc w:val="left"/>
              <w:rPr>
                <w:rFonts w:ascii="宋体" w:hAnsi="宋体" w:cs="宋体"/>
                <w:color w:val="000000"/>
                <w:kern w:val="0"/>
                <w:sz w:val="22"/>
                <w:szCs w:val="22"/>
              </w:rPr>
            </w:pPr>
            <w:r>
              <w:rPr>
                <w:rFonts w:hint="eastAsia" w:ascii="宋体" w:hAnsi="宋体" w:cs="宋体"/>
                <w:color w:val="000000"/>
                <w:kern w:val="0"/>
                <w:sz w:val="22"/>
                <w:szCs w:val="22"/>
              </w:rPr>
              <w:t>17时00分</w:t>
            </w:r>
          </w:p>
        </w:tc>
        <w:tc>
          <w:tcPr>
            <w:tcW w:w="5227" w:type="dxa"/>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符合性审查，技术、商务评审、决定推荐中标人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trPr>
        <w:tc>
          <w:tcPr>
            <w:tcW w:w="3473" w:type="dxa"/>
            <w:shd w:val="clear" w:color="auto" w:fill="auto"/>
            <w:tcMar>
              <w:top w:w="15" w:type="dxa"/>
              <w:left w:w="15" w:type="dxa"/>
              <w:right w:w="15" w:type="dxa"/>
            </w:tcMar>
            <w:vAlign w:val="center"/>
          </w:tcPr>
          <w:p>
            <w:pPr>
              <w:jc w:val="left"/>
              <w:rPr>
                <w:rFonts w:ascii="宋体" w:hAnsi="宋体" w:cs="宋体"/>
                <w:color w:val="000000"/>
                <w:kern w:val="0"/>
                <w:sz w:val="22"/>
                <w:szCs w:val="22"/>
              </w:rPr>
            </w:pPr>
            <w:r>
              <w:rPr>
                <w:rFonts w:hint="eastAsia" w:ascii="宋体" w:hAnsi="宋体" w:cs="宋体"/>
                <w:color w:val="000000"/>
                <w:kern w:val="0"/>
                <w:sz w:val="22"/>
                <w:szCs w:val="22"/>
              </w:rPr>
              <w:t>2020年02月11日至</w:t>
            </w:r>
          </w:p>
          <w:p>
            <w:pPr>
              <w:jc w:val="left"/>
              <w:rPr>
                <w:rFonts w:ascii="宋体" w:hAnsi="宋体" w:cs="宋体"/>
                <w:color w:val="000000"/>
                <w:sz w:val="22"/>
                <w:szCs w:val="22"/>
              </w:rPr>
            </w:pPr>
            <w:r>
              <w:rPr>
                <w:rFonts w:hint="eastAsia" w:ascii="宋体" w:hAnsi="宋体" w:cs="宋体"/>
                <w:color w:val="000000"/>
                <w:kern w:val="0"/>
                <w:sz w:val="22"/>
                <w:szCs w:val="22"/>
              </w:rPr>
              <w:t>2020年02月14日</w:t>
            </w:r>
          </w:p>
        </w:tc>
        <w:tc>
          <w:tcPr>
            <w:tcW w:w="5227" w:type="dxa"/>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公司批准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trPr>
        <w:tc>
          <w:tcPr>
            <w:tcW w:w="3473" w:type="dxa"/>
            <w:shd w:val="clear" w:color="auto" w:fill="auto"/>
            <w:tcMar>
              <w:top w:w="15" w:type="dxa"/>
              <w:left w:w="15" w:type="dxa"/>
              <w:right w:w="15" w:type="dxa"/>
            </w:tcMar>
            <w:vAlign w:val="center"/>
          </w:tcPr>
          <w:p>
            <w:pPr>
              <w:jc w:val="left"/>
              <w:rPr>
                <w:rFonts w:ascii="宋体" w:hAnsi="宋体" w:cs="宋体"/>
                <w:color w:val="000000"/>
                <w:kern w:val="0"/>
                <w:sz w:val="22"/>
                <w:szCs w:val="22"/>
              </w:rPr>
            </w:pPr>
            <w:r>
              <w:rPr>
                <w:rFonts w:hint="eastAsia" w:ascii="宋体" w:hAnsi="宋体" w:cs="宋体"/>
                <w:color w:val="000000"/>
                <w:kern w:val="0"/>
                <w:sz w:val="22"/>
                <w:szCs w:val="22"/>
              </w:rPr>
              <w:t>2020年02月17日至</w:t>
            </w:r>
          </w:p>
          <w:p>
            <w:pPr>
              <w:jc w:val="left"/>
              <w:rPr>
                <w:rFonts w:ascii="宋体" w:hAnsi="宋体" w:cs="宋体"/>
                <w:color w:val="000000"/>
                <w:kern w:val="0"/>
                <w:sz w:val="22"/>
                <w:szCs w:val="22"/>
              </w:rPr>
            </w:pPr>
            <w:r>
              <w:rPr>
                <w:rFonts w:hint="eastAsia" w:ascii="宋体" w:hAnsi="宋体" w:cs="宋体"/>
                <w:color w:val="000000"/>
                <w:kern w:val="0"/>
                <w:sz w:val="22"/>
                <w:szCs w:val="22"/>
              </w:rPr>
              <w:t>2020年02月19日</w:t>
            </w:r>
          </w:p>
        </w:tc>
        <w:tc>
          <w:tcPr>
            <w:tcW w:w="5227" w:type="dxa"/>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通知中标人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trPr>
        <w:tc>
          <w:tcPr>
            <w:tcW w:w="3473" w:type="dxa"/>
            <w:shd w:val="clear" w:color="auto" w:fill="auto"/>
            <w:tcMar>
              <w:top w:w="15" w:type="dxa"/>
              <w:left w:w="15" w:type="dxa"/>
              <w:right w:w="15" w:type="dxa"/>
            </w:tcMar>
            <w:vAlign w:val="center"/>
          </w:tcPr>
          <w:p>
            <w:pPr>
              <w:jc w:val="left"/>
              <w:rPr>
                <w:rFonts w:ascii="宋体" w:hAnsi="宋体" w:cs="宋体"/>
                <w:color w:val="000000"/>
                <w:sz w:val="22"/>
                <w:szCs w:val="22"/>
              </w:rPr>
            </w:pPr>
            <w:r>
              <w:rPr>
                <w:rFonts w:hint="eastAsia" w:ascii="宋体" w:hAnsi="宋体" w:cs="宋体"/>
                <w:color w:val="000000"/>
                <w:kern w:val="0"/>
                <w:sz w:val="22"/>
                <w:szCs w:val="22"/>
              </w:rPr>
              <w:t>2020年3月1日前</w:t>
            </w:r>
          </w:p>
        </w:tc>
        <w:tc>
          <w:tcPr>
            <w:tcW w:w="5227" w:type="dxa"/>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合同签署</w:t>
            </w:r>
          </w:p>
        </w:tc>
      </w:tr>
    </w:tbl>
    <w:p>
      <w:pPr>
        <w:spacing w:line="360" w:lineRule="auto"/>
        <w:rPr>
          <w:rFonts w:ascii="宋体"/>
          <w:b/>
          <w:sz w:val="28"/>
          <w:szCs w:val="28"/>
        </w:rPr>
      </w:pPr>
      <w:r>
        <w:rPr>
          <w:rFonts w:hint="eastAsia" w:ascii="宋体"/>
          <w:b/>
          <w:sz w:val="28"/>
          <w:szCs w:val="28"/>
        </w:rPr>
        <w:t>6.合同授予</w:t>
      </w:r>
    </w:p>
    <w:p>
      <w:pPr>
        <w:spacing w:line="360" w:lineRule="auto"/>
        <w:ind w:firstLine="420" w:firstLineChars="200"/>
        <w:rPr>
          <w:rFonts w:ascii="宋体"/>
          <w:szCs w:val="21"/>
        </w:rPr>
      </w:pPr>
      <w:r>
        <w:rPr>
          <w:rFonts w:hint="eastAsia" w:ascii="宋体"/>
          <w:szCs w:val="21"/>
        </w:rPr>
        <w:t>6.1 中标通知</w:t>
      </w:r>
    </w:p>
    <w:p>
      <w:pPr>
        <w:spacing w:line="360" w:lineRule="auto"/>
        <w:ind w:firstLine="420" w:firstLineChars="200"/>
        <w:rPr>
          <w:rFonts w:ascii="宋体"/>
          <w:szCs w:val="21"/>
        </w:rPr>
      </w:pPr>
      <w:r>
        <w:rPr>
          <w:rFonts w:hint="eastAsia" w:ascii="宋体"/>
          <w:szCs w:val="21"/>
        </w:rPr>
        <w:t>在规定的投标有效期内，招标人以书面形式向中标人发出中标通知书，同时将中标结果通知未中标的投标人。招标人对评标、定标结果不负责解释。</w:t>
      </w:r>
    </w:p>
    <w:p>
      <w:pPr>
        <w:spacing w:line="360" w:lineRule="auto"/>
        <w:ind w:firstLine="420" w:firstLineChars="200"/>
        <w:rPr>
          <w:rFonts w:ascii="宋体"/>
          <w:szCs w:val="21"/>
        </w:rPr>
      </w:pPr>
      <w:r>
        <w:rPr>
          <w:rFonts w:hint="eastAsia" w:ascii="宋体"/>
          <w:szCs w:val="21"/>
        </w:rPr>
        <w:t>6.2 签订合同</w:t>
      </w:r>
    </w:p>
    <w:p>
      <w:pPr>
        <w:spacing w:line="360" w:lineRule="auto"/>
        <w:ind w:firstLine="420" w:firstLineChars="200"/>
        <w:rPr>
          <w:rFonts w:ascii="宋体"/>
          <w:szCs w:val="21"/>
        </w:rPr>
      </w:pPr>
      <w:r>
        <w:rPr>
          <w:rFonts w:hint="eastAsia" w:ascii="宋体"/>
          <w:szCs w:val="21"/>
        </w:rPr>
        <w:t>6.2.1招标人和中标人应当自中标通知书发出之日起30个工作日内订立书面合同（合同条款按第三章“合同条款”）。中标人无正当理由拒签合同的，招标人取消其中标资格；给招标人造成的损失超过投标保证金数额的，中标人还应当对超过部分予以赔偿。</w:t>
      </w:r>
    </w:p>
    <w:p>
      <w:pPr>
        <w:spacing w:line="360" w:lineRule="auto"/>
        <w:ind w:firstLine="420" w:firstLineChars="200"/>
        <w:rPr>
          <w:rFonts w:ascii="宋体"/>
          <w:szCs w:val="21"/>
        </w:rPr>
      </w:pPr>
      <w:r>
        <w:rPr>
          <w:rFonts w:hint="eastAsia" w:ascii="宋体"/>
          <w:szCs w:val="21"/>
        </w:rPr>
        <w:t>6.2.2 发出中标通知书后，招标人无正当理由拒签合同的，给中标人造成损失的，还应当赔偿损失。</w:t>
      </w:r>
    </w:p>
    <w:p>
      <w:pPr>
        <w:spacing w:line="360" w:lineRule="auto"/>
        <w:rPr>
          <w:rFonts w:ascii="宋体"/>
          <w:b/>
          <w:sz w:val="28"/>
          <w:szCs w:val="28"/>
        </w:rPr>
      </w:pPr>
      <w:r>
        <w:rPr>
          <w:rFonts w:hint="eastAsia" w:ascii="宋体"/>
          <w:b/>
          <w:sz w:val="28"/>
          <w:szCs w:val="28"/>
        </w:rPr>
        <w:t>7.重新招标和不再招标</w:t>
      </w:r>
    </w:p>
    <w:p>
      <w:pPr>
        <w:spacing w:line="360" w:lineRule="auto"/>
        <w:ind w:firstLine="420" w:firstLineChars="200"/>
        <w:rPr>
          <w:rFonts w:ascii="宋体"/>
          <w:szCs w:val="21"/>
        </w:rPr>
      </w:pPr>
      <w:r>
        <w:rPr>
          <w:rFonts w:hint="eastAsia" w:ascii="宋体"/>
          <w:szCs w:val="21"/>
        </w:rPr>
        <w:t>7.1 重新招标</w:t>
      </w:r>
    </w:p>
    <w:p>
      <w:pPr>
        <w:spacing w:line="360" w:lineRule="auto"/>
        <w:ind w:firstLine="420" w:firstLineChars="200"/>
        <w:rPr>
          <w:rFonts w:ascii="宋体"/>
          <w:szCs w:val="21"/>
        </w:rPr>
      </w:pPr>
      <w:r>
        <w:rPr>
          <w:rFonts w:hint="eastAsia" w:ascii="宋体"/>
          <w:szCs w:val="21"/>
        </w:rPr>
        <w:t>有下列情形之一的，招标人将重新招标；</w:t>
      </w:r>
    </w:p>
    <w:p>
      <w:pPr>
        <w:spacing w:line="360" w:lineRule="auto"/>
        <w:ind w:firstLine="420" w:firstLineChars="200"/>
        <w:rPr>
          <w:rFonts w:ascii="宋体"/>
          <w:szCs w:val="21"/>
        </w:rPr>
      </w:pPr>
      <w:r>
        <w:rPr>
          <w:rFonts w:hint="eastAsia" w:ascii="宋体"/>
          <w:szCs w:val="21"/>
        </w:rPr>
        <w:t>（1）投标截止时间止，投标人少于3个的；</w:t>
      </w:r>
    </w:p>
    <w:p>
      <w:pPr>
        <w:spacing w:line="360" w:lineRule="auto"/>
        <w:ind w:firstLine="420" w:firstLineChars="200"/>
        <w:rPr>
          <w:rFonts w:ascii="宋体"/>
          <w:szCs w:val="21"/>
        </w:rPr>
      </w:pPr>
      <w:r>
        <w:rPr>
          <w:rFonts w:hint="eastAsia" w:ascii="宋体"/>
          <w:szCs w:val="21"/>
        </w:rPr>
        <w:t>（2）所有投标人的报价均偏高，招标人无法接受的；</w:t>
      </w:r>
    </w:p>
    <w:p>
      <w:pPr>
        <w:spacing w:line="360" w:lineRule="auto"/>
        <w:ind w:firstLine="420" w:firstLineChars="200"/>
        <w:rPr>
          <w:rFonts w:ascii="宋体"/>
          <w:szCs w:val="21"/>
        </w:rPr>
      </w:pPr>
      <w:r>
        <w:rPr>
          <w:rFonts w:hint="eastAsia" w:ascii="宋体"/>
          <w:szCs w:val="21"/>
        </w:rPr>
        <w:t>（3）经评标委员会评审后否决所有投标的。</w:t>
      </w:r>
    </w:p>
    <w:p>
      <w:pPr>
        <w:spacing w:line="360" w:lineRule="auto"/>
        <w:ind w:firstLine="420" w:firstLineChars="200"/>
        <w:rPr>
          <w:rFonts w:ascii="宋体"/>
          <w:szCs w:val="21"/>
        </w:rPr>
      </w:pPr>
      <w:r>
        <w:rPr>
          <w:rFonts w:hint="eastAsia" w:ascii="宋体"/>
          <w:szCs w:val="21"/>
        </w:rPr>
        <w:t>7.2 不再招标</w:t>
      </w:r>
    </w:p>
    <w:p>
      <w:pPr>
        <w:spacing w:line="360" w:lineRule="auto"/>
        <w:ind w:firstLine="420" w:firstLineChars="200"/>
        <w:rPr>
          <w:rFonts w:ascii="宋体"/>
          <w:szCs w:val="21"/>
        </w:rPr>
      </w:pPr>
      <w:r>
        <w:rPr>
          <w:rFonts w:hint="eastAsia" w:ascii="宋体"/>
          <w:szCs w:val="21"/>
        </w:rPr>
        <w:t>重新招标后投标人仍少于3个或者所有投标被否决的，经批准后不再进行招标。</w:t>
      </w:r>
    </w:p>
    <w:p>
      <w:pPr>
        <w:spacing w:line="360" w:lineRule="auto"/>
        <w:rPr>
          <w:rFonts w:ascii="宋体"/>
          <w:b/>
          <w:sz w:val="28"/>
          <w:szCs w:val="28"/>
        </w:rPr>
      </w:pPr>
      <w:r>
        <w:rPr>
          <w:rFonts w:hint="eastAsia" w:ascii="宋体"/>
          <w:b/>
          <w:sz w:val="28"/>
          <w:szCs w:val="28"/>
        </w:rPr>
        <w:t>8.纪律和监督</w:t>
      </w:r>
    </w:p>
    <w:p>
      <w:pPr>
        <w:spacing w:line="360" w:lineRule="auto"/>
        <w:ind w:firstLine="420" w:firstLineChars="200"/>
        <w:rPr>
          <w:rFonts w:ascii="宋体"/>
          <w:szCs w:val="21"/>
        </w:rPr>
      </w:pPr>
      <w:r>
        <w:rPr>
          <w:rFonts w:hint="eastAsia" w:ascii="宋体"/>
          <w:szCs w:val="21"/>
        </w:rPr>
        <w:t>8.1 对招标人的纪律要求</w:t>
      </w:r>
    </w:p>
    <w:p>
      <w:pPr>
        <w:spacing w:line="360" w:lineRule="auto"/>
        <w:ind w:firstLine="420" w:firstLineChars="200"/>
        <w:rPr>
          <w:rFonts w:ascii="宋体"/>
          <w:szCs w:val="21"/>
        </w:rPr>
      </w:pPr>
      <w:r>
        <w:rPr>
          <w:rFonts w:hint="eastAsia" w:ascii="宋体"/>
          <w:szCs w:val="21"/>
        </w:rPr>
        <w:t>招标人不得泄漏招标投标活动中应当保密的情况和资料，不得与投标人串通损害国家利益、社会公共利益或者他人合法权益。</w:t>
      </w:r>
    </w:p>
    <w:p>
      <w:pPr>
        <w:spacing w:line="360" w:lineRule="auto"/>
        <w:ind w:firstLine="420" w:firstLineChars="200"/>
        <w:rPr>
          <w:rFonts w:ascii="宋体"/>
          <w:szCs w:val="21"/>
        </w:rPr>
      </w:pPr>
      <w:r>
        <w:rPr>
          <w:rFonts w:hint="eastAsia" w:ascii="宋体"/>
          <w:szCs w:val="21"/>
        </w:rPr>
        <w:t>8.2 对投标人的纪律要求</w:t>
      </w:r>
    </w:p>
    <w:p>
      <w:pPr>
        <w:spacing w:line="360" w:lineRule="auto"/>
        <w:ind w:firstLine="420" w:firstLineChars="200"/>
        <w:rPr>
          <w:rFonts w:ascii="宋体"/>
          <w:szCs w:val="21"/>
        </w:rPr>
      </w:pPr>
      <w:r>
        <w:rPr>
          <w:rFonts w:hint="eastAsia" w:asci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20" w:firstLineChars="200"/>
        <w:rPr>
          <w:rFonts w:ascii="宋体"/>
          <w:szCs w:val="21"/>
        </w:rPr>
      </w:pPr>
      <w:r>
        <w:rPr>
          <w:rFonts w:hint="eastAsia" w:ascii="宋体"/>
          <w:szCs w:val="21"/>
        </w:rPr>
        <w:t>若投标人存在串通投标或弄虚作假或有其他违法行为的，招标人有权没收投标人的投标保证金，2年内禁止参与招标人所有招标项目的投标，给招标人造成损失的，还需承担赔偿责任。</w:t>
      </w:r>
    </w:p>
    <w:p>
      <w:pPr>
        <w:spacing w:line="360" w:lineRule="auto"/>
        <w:ind w:firstLine="420" w:firstLineChars="200"/>
        <w:rPr>
          <w:rFonts w:ascii="宋体"/>
          <w:szCs w:val="21"/>
        </w:rPr>
      </w:pPr>
      <w:r>
        <w:rPr>
          <w:rFonts w:hint="eastAsia" w:ascii="宋体"/>
          <w:szCs w:val="21"/>
        </w:rPr>
        <w:t>8.3 对评标委员会成员的纪律要求</w:t>
      </w:r>
    </w:p>
    <w:p>
      <w:pPr>
        <w:spacing w:line="360" w:lineRule="auto"/>
        <w:ind w:firstLine="420" w:firstLineChars="200"/>
        <w:rPr>
          <w:rFonts w:ascii="宋体"/>
          <w:szCs w:val="21"/>
        </w:rPr>
      </w:pPr>
      <w:r>
        <w:rPr>
          <w:rFonts w:hint="eastAsia" w:ascii="宋体"/>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spacing w:line="360" w:lineRule="auto"/>
        <w:ind w:firstLine="420" w:firstLineChars="200"/>
        <w:rPr>
          <w:rFonts w:ascii="宋体"/>
          <w:szCs w:val="21"/>
        </w:rPr>
      </w:pPr>
      <w:r>
        <w:rPr>
          <w:rFonts w:hint="eastAsia" w:ascii="宋体"/>
          <w:szCs w:val="21"/>
        </w:rPr>
        <w:t>8.4 对评标活动有关的工作人员的纪律要求</w:t>
      </w:r>
    </w:p>
    <w:p>
      <w:pPr>
        <w:spacing w:line="360" w:lineRule="auto"/>
        <w:ind w:firstLine="420" w:firstLineChars="200"/>
        <w:rPr>
          <w:rFonts w:ascii="宋体"/>
          <w:szCs w:val="21"/>
        </w:rPr>
      </w:pPr>
      <w:r>
        <w:rPr>
          <w:rFonts w:hint="eastAsia" w:ascii="宋体"/>
          <w:szCs w:val="21"/>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ind w:firstLine="420" w:firstLineChars="200"/>
        <w:rPr>
          <w:rFonts w:ascii="宋体"/>
          <w:szCs w:val="21"/>
        </w:rPr>
      </w:pPr>
      <w:r>
        <w:rPr>
          <w:rFonts w:hint="eastAsia" w:ascii="宋体"/>
          <w:szCs w:val="21"/>
        </w:rPr>
        <w:t>8.5 投诉</w:t>
      </w:r>
    </w:p>
    <w:p>
      <w:pPr>
        <w:spacing w:line="360" w:lineRule="auto"/>
        <w:ind w:firstLine="420" w:firstLineChars="200"/>
        <w:rPr>
          <w:rFonts w:ascii="宋体"/>
          <w:szCs w:val="21"/>
        </w:rPr>
      </w:pPr>
      <w:r>
        <w:rPr>
          <w:rFonts w:hint="eastAsia" w:ascii="宋体"/>
          <w:szCs w:val="21"/>
        </w:rPr>
        <w:t>投标人和其他利害关系人认为本次招标活动违反法律、法规和规章规定的，有权向有关行政监督部门投诉。</w:t>
      </w:r>
    </w:p>
    <w:p>
      <w:pPr>
        <w:spacing w:line="360" w:lineRule="auto"/>
        <w:rPr>
          <w:rFonts w:ascii="宋体"/>
          <w:b/>
          <w:sz w:val="28"/>
          <w:szCs w:val="28"/>
        </w:rPr>
      </w:pPr>
      <w:r>
        <w:rPr>
          <w:rFonts w:hint="eastAsia" w:ascii="宋体"/>
          <w:b/>
          <w:sz w:val="28"/>
          <w:szCs w:val="28"/>
        </w:rPr>
        <w:t>9. 需要补充的其他内容</w:t>
      </w:r>
    </w:p>
    <w:p>
      <w:pPr>
        <w:spacing w:line="360" w:lineRule="auto"/>
        <w:ind w:firstLine="420" w:firstLineChars="200"/>
        <w:rPr>
          <w:rFonts w:ascii="宋体"/>
          <w:szCs w:val="21"/>
        </w:rPr>
      </w:pPr>
      <w:r>
        <w:rPr>
          <w:rFonts w:hint="eastAsia" w:ascii="宋体"/>
          <w:szCs w:val="21"/>
        </w:rPr>
        <w:t>需要补充的其他内容：见投标人须知前附表。</w:t>
      </w:r>
    </w:p>
    <w:p>
      <w:pPr>
        <w:spacing w:line="360" w:lineRule="auto"/>
        <w:ind w:firstLine="420" w:firstLineChars="200"/>
        <w:rPr>
          <w:rFonts w:ascii="宋体"/>
          <w:szCs w:val="21"/>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360" w:lineRule="auto"/>
        <w:jc w:val="center"/>
        <w:rPr>
          <w:rFonts w:ascii="宋体" w:eastAsia="宋体"/>
          <w:sz w:val="44"/>
          <w:szCs w:val="44"/>
        </w:rPr>
      </w:pPr>
      <w:r>
        <w:rPr>
          <w:rFonts w:hint="eastAsia" w:ascii="宋体" w:eastAsia="宋体"/>
          <w:sz w:val="44"/>
          <w:szCs w:val="44"/>
        </w:rPr>
        <w:t>第三章：合同条款</w:t>
      </w:r>
    </w:p>
    <w:p>
      <w:pPr>
        <w:autoSpaceDE w:val="0"/>
        <w:autoSpaceDN w:val="0"/>
        <w:rPr>
          <w:rFonts w:ascii="仿宋_GB2312" w:eastAsia="仿宋_GB2312"/>
          <w:b/>
          <w:sz w:val="24"/>
          <w:szCs w:val="24"/>
          <w:lang w:val="zh-CN"/>
        </w:rPr>
      </w:pPr>
    </w:p>
    <w:p>
      <w:pPr>
        <w:autoSpaceDE w:val="0"/>
        <w:autoSpaceDN w:val="0"/>
        <w:rPr>
          <w:rFonts w:ascii="仿宋_GB2312" w:eastAsia="仿宋_GB2312"/>
          <w:b/>
          <w:sz w:val="24"/>
          <w:szCs w:val="24"/>
          <w:lang w:val="zh-CN"/>
        </w:rPr>
      </w:pPr>
      <w:r>
        <w:rPr>
          <w:rFonts w:hint="eastAsia" w:ascii="仿宋_GB2312" w:eastAsia="仿宋_GB2312"/>
          <w:b/>
          <w:sz w:val="24"/>
          <w:szCs w:val="24"/>
          <w:lang w:val="zh-CN"/>
        </w:rPr>
        <w:t>合同委托方：浙江航空开发有限责任公司</w:t>
      </w:r>
    </w:p>
    <w:p>
      <w:pPr>
        <w:spacing w:line="360" w:lineRule="auto"/>
        <w:ind w:firstLine="420" w:firstLineChars="200"/>
        <w:rPr>
          <w:rFonts w:ascii="宋体"/>
          <w:szCs w:val="21"/>
        </w:rPr>
      </w:pPr>
    </w:p>
    <w:p>
      <w:pPr>
        <w:autoSpaceDE w:val="0"/>
        <w:autoSpaceDN w:val="0"/>
        <w:rPr>
          <w:rFonts w:ascii="仿宋_GB2312" w:eastAsia="仿宋_GB2312"/>
          <w:bCs/>
          <w:sz w:val="24"/>
          <w:lang w:val="zh-CN"/>
        </w:rPr>
      </w:pPr>
      <w:r>
        <w:rPr>
          <w:rFonts w:hint="eastAsia" w:ascii="仿宋_GB2312" w:eastAsia="仿宋_GB2312"/>
          <w:bCs/>
          <w:sz w:val="24"/>
          <w:lang w:val="zh-CN"/>
        </w:rPr>
        <w:t>（以下简称“</w:t>
      </w:r>
      <w:r>
        <w:rPr>
          <w:rFonts w:hint="eastAsia" w:ascii="仿宋_GB2312" w:eastAsia="仿宋_GB2312"/>
          <w:b/>
          <w:bCs/>
          <w:sz w:val="24"/>
          <w:lang w:val="zh-CN"/>
        </w:rPr>
        <w:t>甲方</w:t>
      </w:r>
      <w:r>
        <w:rPr>
          <w:rFonts w:hint="eastAsia" w:ascii="仿宋_GB2312" w:eastAsia="仿宋_GB2312"/>
          <w:bCs/>
          <w:sz w:val="24"/>
          <w:lang w:val="zh-CN"/>
        </w:rPr>
        <w:t>”）</w:t>
      </w:r>
    </w:p>
    <w:p>
      <w:pPr>
        <w:autoSpaceDE w:val="0"/>
        <w:autoSpaceDN w:val="0"/>
        <w:rPr>
          <w:rFonts w:ascii="仿宋_GB2312" w:eastAsia="仿宋_GB2312"/>
          <w:b/>
          <w:sz w:val="24"/>
          <w:szCs w:val="24"/>
          <w:lang w:val="zh-CN"/>
        </w:rPr>
      </w:pPr>
    </w:p>
    <w:p>
      <w:pPr>
        <w:autoSpaceDE w:val="0"/>
        <w:autoSpaceDN w:val="0"/>
        <w:rPr>
          <w:rFonts w:ascii="仿宋_GB2312" w:eastAsia="仿宋_GB2312"/>
          <w:b/>
          <w:bCs/>
          <w:sz w:val="24"/>
          <w:szCs w:val="24"/>
          <w:lang w:val="zh-CN"/>
        </w:rPr>
      </w:pPr>
      <w:r>
        <w:rPr>
          <w:rFonts w:hint="eastAsia" w:ascii="仿宋_GB2312" w:eastAsia="仿宋_GB2312"/>
          <w:b/>
          <w:sz w:val="24"/>
          <w:szCs w:val="24"/>
          <w:lang w:val="zh-CN"/>
        </w:rPr>
        <w:t>合同受托方</w:t>
      </w:r>
      <w:r>
        <w:rPr>
          <w:rFonts w:hint="eastAsia" w:ascii="仿宋_GB2312" w:eastAsia="仿宋_GB2312"/>
          <w:b/>
          <w:bCs/>
          <w:sz w:val="24"/>
          <w:szCs w:val="24"/>
          <w:lang w:val="zh-CN"/>
        </w:rPr>
        <w:t>：</w:t>
      </w:r>
    </w:p>
    <w:p>
      <w:pPr>
        <w:autoSpaceDE w:val="0"/>
        <w:autoSpaceDN w:val="0"/>
        <w:rPr>
          <w:rFonts w:ascii="仿宋_GB2312" w:eastAsia="仿宋_GB2312"/>
          <w:b/>
          <w:bCs/>
          <w:sz w:val="24"/>
          <w:szCs w:val="24"/>
          <w:lang w:val="zh-CN"/>
        </w:rPr>
      </w:pPr>
    </w:p>
    <w:p>
      <w:pPr>
        <w:autoSpaceDE w:val="0"/>
        <w:autoSpaceDN w:val="0"/>
        <w:rPr>
          <w:rFonts w:ascii="仿宋_GB2312" w:eastAsia="仿宋_GB2312"/>
          <w:b/>
          <w:bCs/>
          <w:sz w:val="24"/>
          <w:u w:val="single"/>
          <w:lang w:val="zh-CN"/>
        </w:rPr>
      </w:pPr>
      <w:r>
        <w:rPr>
          <w:rFonts w:hint="eastAsia" w:ascii="仿宋_GB2312" w:eastAsia="仿宋_GB2312"/>
          <w:bCs/>
          <w:sz w:val="24"/>
          <w:lang w:val="zh-CN"/>
        </w:rPr>
        <w:t>（以下简称“</w:t>
      </w:r>
      <w:r>
        <w:rPr>
          <w:rFonts w:hint="eastAsia" w:ascii="仿宋_GB2312" w:eastAsia="仿宋_GB2312"/>
          <w:b/>
          <w:bCs/>
          <w:sz w:val="24"/>
          <w:lang w:val="zh-CN"/>
        </w:rPr>
        <w:t>乙方</w:t>
      </w:r>
      <w:r>
        <w:rPr>
          <w:rFonts w:hint="eastAsia" w:ascii="仿宋_GB2312" w:eastAsia="仿宋_GB2312"/>
          <w:bCs/>
          <w:sz w:val="24"/>
          <w:lang w:val="zh-CN"/>
        </w:rPr>
        <w:t>”）</w:t>
      </w:r>
    </w:p>
    <w:p>
      <w:pPr>
        <w:pStyle w:val="16"/>
        <w:rPr>
          <w:rFonts w:hint="default" w:ascii="仿宋_GB2312" w:hAnsi="Times New Roman" w:eastAsia="仿宋_GB2312"/>
          <w:lang w:val="zh-CN"/>
        </w:rPr>
      </w:pPr>
      <w:r>
        <w:rPr>
          <w:rFonts w:ascii="仿宋_GB2312" w:hAnsi="Times New Roman" w:eastAsia="仿宋_GB2312"/>
          <w:lang w:val="zh-CN"/>
        </w:rPr>
        <w:t>应甲方业务需求，乙方有意承接甲方客户工厂与仓库之间的药品短驳运输服务。为了明确甲乙</w:t>
      </w:r>
      <w:r>
        <w:rPr>
          <w:rFonts w:ascii="仿宋_GB2312" w:hAnsi="Times New Roman" w:eastAsia="仿宋_GB2312"/>
        </w:rPr>
        <w:t>双方合作的权利和义务，</w:t>
      </w:r>
      <w:r>
        <w:rPr>
          <w:rFonts w:ascii="仿宋_GB2312" w:hAnsi="Times New Roman" w:eastAsia="仿宋_GB2312"/>
          <w:lang w:val="zh-CN"/>
        </w:rPr>
        <w:t>保证服务的准确、安全、及时和可靠，依据</w:t>
      </w:r>
      <w:r>
        <w:rPr>
          <w:rFonts w:ascii="仿宋_GB2312" w:hAnsi="Times New Roman" w:eastAsia="仿宋_GB2312"/>
        </w:rPr>
        <w:t>《中华人民共和国合同法》、</w:t>
      </w:r>
      <w:r>
        <w:rPr>
          <w:rFonts w:ascii="仿宋_GB2312" w:hAnsi="Times New Roman" w:eastAsia="仿宋_GB2312"/>
          <w:lang w:val="zh-CN"/>
        </w:rPr>
        <w:t>《</w:t>
      </w:r>
      <w:r>
        <w:rPr>
          <w:rFonts w:ascii="仿宋_GB2312" w:hAnsi="Times New Roman" w:eastAsia="仿宋_GB2312"/>
        </w:rPr>
        <w:t>中华人民共和国</w:t>
      </w:r>
      <w:r>
        <w:rPr>
          <w:rFonts w:ascii="仿宋_GB2312" w:hAnsi="Times New Roman" w:eastAsia="仿宋_GB2312"/>
          <w:lang w:val="zh-CN"/>
        </w:rPr>
        <w:t>药品管理法》等法律、法规和有关规定，甲方和乙方</w:t>
      </w:r>
      <w:r>
        <w:rPr>
          <w:rFonts w:ascii="仿宋_GB2312" w:hAnsi="Times New Roman" w:eastAsia="仿宋_GB2312"/>
        </w:rPr>
        <w:t>经协商一致，在杭州市下城区签订本</w:t>
      </w:r>
      <w:r>
        <w:rPr>
          <w:rFonts w:ascii="仿宋_GB2312" w:hAnsi="Times New Roman" w:eastAsia="仿宋_GB2312"/>
          <w:lang w:val="zh-CN"/>
        </w:rPr>
        <w:t>服务合同（以下简称“</w:t>
      </w:r>
      <w:r>
        <w:rPr>
          <w:rFonts w:ascii="仿宋_GB2312" w:hAnsi="Times New Roman" w:eastAsia="仿宋_GB2312"/>
          <w:b/>
          <w:lang w:val="zh-CN"/>
        </w:rPr>
        <w:t>本合同</w:t>
      </w:r>
      <w:r>
        <w:rPr>
          <w:rFonts w:ascii="仿宋_GB2312" w:hAnsi="Times New Roman" w:eastAsia="仿宋_GB2312"/>
          <w:lang w:val="zh-CN"/>
        </w:rPr>
        <w:t>”），并共同信守。</w:t>
      </w:r>
    </w:p>
    <w:p>
      <w:pPr>
        <w:numPr>
          <w:ilvl w:val="0"/>
          <w:numId w:val="1"/>
        </w:numPr>
        <w:tabs>
          <w:tab w:val="left" w:pos="0"/>
          <w:tab w:val="left" w:pos="1080"/>
          <w:tab w:val="clear" w:pos="1937"/>
        </w:tabs>
        <w:ind w:left="1080" w:hanging="1080"/>
        <w:rPr>
          <w:rFonts w:ascii="仿宋_GB2312" w:eastAsia="仿宋_GB2312"/>
          <w:b/>
          <w:bCs/>
          <w:sz w:val="24"/>
          <w:szCs w:val="24"/>
        </w:rPr>
      </w:pPr>
      <w:r>
        <w:rPr>
          <w:rFonts w:hint="eastAsia" w:ascii="仿宋_GB2312" w:eastAsia="仿宋_GB2312"/>
          <w:b/>
          <w:bCs/>
          <w:sz w:val="24"/>
          <w:szCs w:val="24"/>
        </w:rPr>
        <w:t>定义</w:t>
      </w:r>
    </w:p>
    <w:p>
      <w:pPr>
        <w:ind w:left="482"/>
        <w:rPr>
          <w:rFonts w:ascii="仿宋_GB2312" w:eastAsia="仿宋_GB2312"/>
          <w:b/>
          <w:bCs/>
          <w:sz w:val="24"/>
          <w:szCs w:val="24"/>
        </w:rPr>
      </w:pPr>
    </w:p>
    <w:p>
      <w:pPr>
        <w:rPr>
          <w:rFonts w:ascii="仿宋_GB2312" w:eastAsia="仿宋_GB2312"/>
          <w:sz w:val="24"/>
          <w:szCs w:val="24"/>
        </w:rPr>
      </w:pPr>
      <w:r>
        <w:rPr>
          <w:rFonts w:hint="eastAsia" w:ascii="仿宋_GB2312" w:eastAsia="仿宋_GB2312"/>
          <w:sz w:val="24"/>
          <w:szCs w:val="24"/>
        </w:rPr>
        <w:t>除非双方另有约定，否则本合同项下的以下条款将拥有下列含义：</w:t>
      </w:r>
    </w:p>
    <w:p>
      <w:pPr>
        <w:ind w:firstLine="420"/>
        <w:rPr>
          <w:rFonts w:ascii="仿宋_GB2312" w:eastAsia="仿宋_GB2312"/>
          <w:sz w:val="24"/>
          <w:szCs w:val="24"/>
        </w:rPr>
      </w:pPr>
    </w:p>
    <w:p>
      <w:pPr>
        <w:numPr>
          <w:ilvl w:val="3"/>
          <w:numId w:val="2"/>
        </w:numPr>
        <w:tabs>
          <w:tab w:val="left" w:pos="426"/>
          <w:tab w:val="clear" w:pos="420"/>
        </w:tabs>
        <w:ind w:left="425" w:hanging="425" w:hangingChars="177"/>
        <w:rPr>
          <w:rFonts w:ascii="仿宋_GB2312" w:eastAsia="仿宋_GB2312"/>
          <w:sz w:val="24"/>
        </w:rPr>
      </w:pPr>
      <w:r>
        <w:rPr>
          <w:rFonts w:hint="eastAsia" w:ascii="仿宋_GB2312" w:eastAsia="仿宋_GB2312"/>
          <w:sz w:val="24"/>
        </w:rPr>
        <w:t>货物：甲方委托的药品、保健品、医疗器械以及其他物品。具体每一物流订单所对应的名称、规格、数量等应以甲方发送至乙方的物流订单上所描述的信息为准。</w:t>
      </w:r>
    </w:p>
    <w:p>
      <w:pPr>
        <w:tabs>
          <w:tab w:val="left" w:pos="426"/>
        </w:tabs>
        <w:ind w:left="425" w:hanging="425" w:hangingChars="177"/>
        <w:rPr>
          <w:rFonts w:ascii="仿宋_GB2312" w:eastAsia="仿宋_GB2312"/>
          <w:sz w:val="24"/>
          <w:szCs w:val="24"/>
        </w:rPr>
      </w:pPr>
    </w:p>
    <w:p>
      <w:pPr>
        <w:numPr>
          <w:ilvl w:val="3"/>
          <w:numId w:val="2"/>
        </w:numPr>
        <w:tabs>
          <w:tab w:val="left" w:pos="426"/>
          <w:tab w:val="clear" w:pos="420"/>
        </w:tabs>
        <w:ind w:left="425" w:hanging="425" w:hangingChars="177"/>
        <w:rPr>
          <w:rFonts w:ascii="仿宋_GB2312" w:eastAsia="仿宋_GB2312"/>
          <w:sz w:val="24"/>
          <w:szCs w:val="24"/>
        </w:rPr>
      </w:pPr>
      <w:r>
        <w:rPr>
          <w:rFonts w:hint="eastAsia" w:ascii="仿宋_GB2312" w:eastAsia="仿宋_GB2312"/>
          <w:sz w:val="24"/>
          <w:szCs w:val="24"/>
        </w:rPr>
        <w:t>随行文件（或随货同行文件）：是指乙方为甲方提供本合同项下的服务而从甲方处获得的货物相关文件，包括但不限于：(1) 物流订单（不得与货物分离）； (2) 产品质量检验报告（如为空胶囊，则为空胶囊检验报告）（不得与货物分离）；(3) 货物信息以及货物信息变更文件（如有任何变更）。</w:t>
      </w:r>
    </w:p>
    <w:p>
      <w:pPr>
        <w:tabs>
          <w:tab w:val="left" w:pos="426"/>
        </w:tabs>
        <w:ind w:left="425" w:hanging="425" w:hangingChars="177"/>
        <w:rPr>
          <w:rFonts w:ascii="仿宋_GB2312" w:eastAsia="仿宋_GB2312"/>
          <w:sz w:val="24"/>
          <w:szCs w:val="24"/>
        </w:rPr>
      </w:pPr>
    </w:p>
    <w:p>
      <w:pPr>
        <w:numPr>
          <w:ilvl w:val="3"/>
          <w:numId w:val="2"/>
        </w:numPr>
        <w:tabs>
          <w:tab w:val="left" w:pos="426"/>
          <w:tab w:val="clear" w:pos="420"/>
        </w:tabs>
        <w:ind w:left="425" w:hanging="425" w:hangingChars="177"/>
        <w:rPr>
          <w:rFonts w:ascii="仿宋_GB2312" w:eastAsia="仿宋_GB2312"/>
          <w:sz w:val="24"/>
          <w:szCs w:val="24"/>
        </w:rPr>
      </w:pPr>
      <w:r>
        <w:rPr>
          <w:rFonts w:hint="eastAsia" w:ascii="仿宋_GB2312" w:eastAsia="仿宋_GB2312"/>
          <w:sz w:val="24"/>
          <w:szCs w:val="24"/>
        </w:rPr>
        <w:t>工厂：指浙江省杭州市下沙文海北路199号。</w:t>
      </w:r>
    </w:p>
    <w:p>
      <w:pPr>
        <w:tabs>
          <w:tab w:val="left" w:pos="426"/>
        </w:tabs>
        <w:ind w:left="425" w:hanging="425" w:hangingChars="177"/>
        <w:rPr>
          <w:rFonts w:ascii="仿宋_GB2312" w:eastAsia="仿宋_GB2312"/>
          <w:sz w:val="24"/>
          <w:szCs w:val="24"/>
        </w:rPr>
      </w:pPr>
    </w:p>
    <w:p>
      <w:pPr>
        <w:numPr>
          <w:ilvl w:val="3"/>
          <w:numId w:val="2"/>
        </w:numPr>
        <w:tabs>
          <w:tab w:val="left" w:pos="426"/>
          <w:tab w:val="clear" w:pos="420"/>
        </w:tabs>
        <w:ind w:left="425" w:hanging="425" w:hangingChars="177"/>
        <w:rPr>
          <w:rFonts w:ascii="仿宋_GB2312" w:eastAsia="仿宋_GB2312"/>
          <w:sz w:val="24"/>
          <w:szCs w:val="24"/>
        </w:rPr>
      </w:pPr>
      <w:r>
        <w:rPr>
          <w:rFonts w:hint="eastAsia" w:ascii="仿宋_GB2312" w:eastAsia="仿宋_GB2312"/>
          <w:sz w:val="24"/>
          <w:szCs w:val="24"/>
        </w:rPr>
        <w:t>仓库：指浙江省杭州市临江工业园经七路1999号。</w:t>
      </w:r>
    </w:p>
    <w:p>
      <w:pPr>
        <w:pStyle w:val="42"/>
        <w:ind w:firstLine="480"/>
        <w:rPr>
          <w:rFonts w:ascii="仿宋_GB2312" w:eastAsia="仿宋_GB2312"/>
          <w:sz w:val="24"/>
        </w:rPr>
      </w:pPr>
    </w:p>
    <w:p>
      <w:pPr>
        <w:numPr>
          <w:ilvl w:val="3"/>
          <w:numId w:val="2"/>
        </w:numPr>
        <w:tabs>
          <w:tab w:val="left" w:pos="426"/>
          <w:tab w:val="clear" w:pos="420"/>
        </w:tabs>
        <w:ind w:left="425" w:hanging="425" w:hangingChars="177"/>
        <w:rPr>
          <w:rFonts w:ascii="仿宋_GB2312" w:eastAsia="仿宋_GB2312"/>
          <w:sz w:val="24"/>
          <w:szCs w:val="24"/>
        </w:rPr>
      </w:pPr>
      <w:r>
        <w:rPr>
          <w:rFonts w:hint="eastAsia" w:ascii="仿宋_GB2312" w:eastAsia="仿宋_GB2312"/>
          <w:sz w:val="24"/>
          <w:szCs w:val="24"/>
          <w:lang w:val="zh-CN"/>
        </w:rPr>
        <w:t>物料操作员：指工厂或仓库的操作、交接人员。</w:t>
      </w:r>
    </w:p>
    <w:p>
      <w:pPr>
        <w:tabs>
          <w:tab w:val="left" w:pos="426"/>
          <w:tab w:val="left" w:pos="2760"/>
        </w:tabs>
        <w:ind w:left="425" w:hanging="425" w:hangingChars="177"/>
        <w:rPr>
          <w:rFonts w:ascii="仿宋_GB2312" w:eastAsia="仿宋_GB2312"/>
          <w:sz w:val="24"/>
          <w:szCs w:val="24"/>
        </w:rPr>
      </w:pPr>
    </w:p>
    <w:p>
      <w:pPr>
        <w:numPr>
          <w:ilvl w:val="0"/>
          <w:numId w:val="1"/>
        </w:numPr>
        <w:tabs>
          <w:tab w:val="left" w:pos="0"/>
          <w:tab w:val="left" w:pos="1080"/>
          <w:tab w:val="clear" w:pos="1937"/>
        </w:tabs>
        <w:ind w:left="1080" w:hanging="1080"/>
        <w:rPr>
          <w:rFonts w:ascii="仿宋_GB2312" w:eastAsia="仿宋_GB2312"/>
          <w:b/>
          <w:sz w:val="24"/>
          <w:szCs w:val="24"/>
          <w:lang w:val="zh-CN"/>
        </w:rPr>
      </w:pPr>
      <w:r>
        <w:rPr>
          <w:rFonts w:hint="eastAsia" w:ascii="仿宋_GB2312" w:eastAsia="仿宋_GB2312"/>
          <w:b/>
          <w:sz w:val="24"/>
          <w:szCs w:val="24"/>
          <w:lang w:val="zh-CN"/>
        </w:rPr>
        <w:t>甲方权利与义务</w:t>
      </w:r>
    </w:p>
    <w:p>
      <w:pPr>
        <w:spacing w:before="100" w:beforeAutospacing="1" w:after="100" w:afterAutospacing="1"/>
        <w:rPr>
          <w:rFonts w:ascii="仿宋_GB2312" w:eastAsia="仿宋_GB2312"/>
          <w:sz w:val="24"/>
          <w:szCs w:val="24"/>
          <w:lang w:val="zh-CN"/>
        </w:rPr>
      </w:pPr>
      <w:r>
        <w:rPr>
          <w:rFonts w:hint="eastAsia" w:ascii="仿宋_GB2312" w:eastAsia="仿宋_GB2312"/>
          <w:sz w:val="24"/>
          <w:szCs w:val="24"/>
        </w:rPr>
        <w:t>一、</w:t>
      </w:r>
      <w:r>
        <w:rPr>
          <w:rFonts w:hint="eastAsia" w:ascii="仿宋_GB2312" w:eastAsia="仿宋_GB2312"/>
          <w:sz w:val="24"/>
          <w:szCs w:val="24"/>
          <w:lang w:val="zh-CN"/>
        </w:rPr>
        <w:t>甲方是合法设立有效存续的企业，其将遵守所有适用的法律，且其已获得并将维持为了履行其在本合同下的各项义务所需的所有政府审批、注册、执照和许可。</w:t>
      </w:r>
    </w:p>
    <w:p>
      <w:pPr>
        <w:spacing w:before="100" w:beforeAutospacing="1" w:after="100" w:afterAutospacing="1"/>
        <w:rPr>
          <w:rFonts w:ascii="仿宋_GB2312" w:eastAsia="仿宋_GB2312"/>
          <w:sz w:val="24"/>
          <w:szCs w:val="24"/>
          <w:lang w:val="zh-CN"/>
        </w:rPr>
      </w:pPr>
      <w:r>
        <w:rPr>
          <w:rFonts w:hint="eastAsia" w:ascii="仿宋_GB2312" w:eastAsia="仿宋_GB2312"/>
          <w:sz w:val="24"/>
          <w:szCs w:val="24"/>
          <w:lang w:val="zh-CN"/>
        </w:rPr>
        <w:t>二、甲方的物流订单应根据本合同的规定传送到乙方，并保证物流订单信息的准确。</w:t>
      </w:r>
    </w:p>
    <w:p>
      <w:pPr>
        <w:rPr>
          <w:rFonts w:ascii="仿宋_GB2312" w:eastAsia="仿宋_GB2312"/>
          <w:sz w:val="24"/>
          <w:szCs w:val="24"/>
        </w:rPr>
      </w:pPr>
      <w:r>
        <w:rPr>
          <w:rFonts w:hint="eastAsia" w:ascii="仿宋_GB2312" w:eastAsia="仿宋_GB2312"/>
          <w:sz w:val="24"/>
          <w:szCs w:val="24"/>
        </w:rPr>
        <w:t>三、双方同意建立长期相互沟通机制，按照甲方要求的频率开展有关服务及服务质量等的评估会谈，切实有效地解决在实际工作中遇到的问题。</w:t>
      </w:r>
    </w:p>
    <w:p>
      <w:pPr>
        <w:rPr>
          <w:rFonts w:ascii="仿宋_GB2312" w:eastAsia="仿宋_GB2312"/>
          <w:sz w:val="24"/>
          <w:szCs w:val="24"/>
        </w:rPr>
      </w:pPr>
    </w:p>
    <w:p>
      <w:pPr>
        <w:rPr>
          <w:rFonts w:ascii="仿宋_GB2312" w:eastAsia="仿宋_GB2312"/>
          <w:sz w:val="24"/>
          <w:szCs w:val="24"/>
        </w:rPr>
      </w:pPr>
      <w:r>
        <w:rPr>
          <w:rFonts w:hint="eastAsia" w:ascii="仿宋_GB2312" w:eastAsia="仿宋_GB2312"/>
          <w:sz w:val="24"/>
          <w:szCs w:val="24"/>
        </w:rPr>
        <w:t>四、双方同意，乙方为本协议项下业务所投入的设备（包括但不限于：车头、车厢等）作为乙方履行本协议的保障，如因乙方原因无法承担或者影响本合同项下业务正常持续的，甲方有权终止本协议同时暂时接管上述设备从而保证业务的正常持续，直至甲方与第三方完成签署业务协议并开始实施为止。</w:t>
      </w:r>
    </w:p>
    <w:p>
      <w:pPr>
        <w:spacing w:line="320" w:lineRule="exact"/>
        <w:rPr>
          <w:rFonts w:ascii="仿宋_GB2312" w:eastAsia="仿宋_GB2312"/>
          <w:strike/>
          <w:sz w:val="24"/>
          <w:szCs w:val="24"/>
        </w:rPr>
      </w:pPr>
    </w:p>
    <w:p>
      <w:pPr>
        <w:numPr>
          <w:ilvl w:val="0"/>
          <w:numId w:val="1"/>
        </w:numPr>
        <w:tabs>
          <w:tab w:val="left" w:pos="0"/>
          <w:tab w:val="left" w:pos="1080"/>
          <w:tab w:val="clear" w:pos="1937"/>
        </w:tabs>
        <w:ind w:left="1080" w:hanging="1080"/>
        <w:rPr>
          <w:rFonts w:ascii="仿宋_GB2312" w:eastAsia="仿宋_GB2312"/>
          <w:b/>
          <w:bCs/>
          <w:sz w:val="24"/>
          <w:szCs w:val="24"/>
        </w:rPr>
      </w:pPr>
      <w:r>
        <w:rPr>
          <w:rFonts w:hint="eastAsia" w:ascii="仿宋_GB2312" w:eastAsia="仿宋_GB2312"/>
          <w:b/>
          <w:bCs/>
          <w:sz w:val="24"/>
          <w:szCs w:val="24"/>
        </w:rPr>
        <w:t>乙方权利与义务</w:t>
      </w:r>
    </w:p>
    <w:p>
      <w:pPr>
        <w:ind w:left="482" w:firstLine="480"/>
        <w:rPr>
          <w:rFonts w:ascii="仿宋_GB2312" w:eastAsia="仿宋_GB2312"/>
          <w:b/>
          <w:bCs/>
          <w:sz w:val="24"/>
          <w:szCs w:val="24"/>
        </w:rPr>
      </w:pPr>
    </w:p>
    <w:p>
      <w:pPr>
        <w:tabs>
          <w:tab w:val="left" w:pos="840"/>
        </w:tabs>
        <w:rPr>
          <w:rFonts w:ascii="仿宋_GB2312" w:eastAsia="仿宋_GB2312"/>
          <w:sz w:val="24"/>
          <w:szCs w:val="24"/>
        </w:rPr>
      </w:pPr>
      <w:r>
        <w:rPr>
          <w:rFonts w:hint="eastAsia" w:ascii="仿宋_GB2312" w:eastAsia="仿宋_GB2312"/>
          <w:sz w:val="24"/>
          <w:szCs w:val="24"/>
        </w:rPr>
        <w:t>一、乙方是根据中国法律合法设立有效存续的企业，其</w:t>
      </w:r>
      <w:r>
        <w:rPr>
          <w:rFonts w:hint="eastAsia" w:ascii="仿宋_GB2312" w:eastAsia="仿宋_GB2312"/>
          <w:sz w:val="24"/>
          <w:szCs w:val="24"/>
          <w:lang w:val="zh-CN"/>
        </w:rPr>
        <w:t>应拥有履行本合同项下义务所要求的所有政府方面或其他的授权、资质、许可及/或同意，并应始终保持且遵守所有该等授权、资质、许可及/或同意，</w:t>
      </w:r>
      <w:r>
        <w:rPr>
          <w:rFonts w:hint="eastAsia" w:ascii="仿宋_GB2312" w:eastAsia="仿宋_GB2312"/>
          <w:sz w:val="24"/>
          <w:szCs w:val="24"/>
        </w:rPr>
        <w:t>如前述授权、资质、许可及/或同意有任何变更，乙方应及时通知甲方，并提供相应的变更后的授权、资质、许可及/或同意。</w:t>
      </w:r>
    </w:p>
    <w:p>
      <w:pPr>
        <w:autoSpaceDE w:val="0"/>
        <w:autoSpaceDN w:val="0"/>
        <w:ind w:firstLine="480" w:firstLineChars="200"/>
        <w:rPr>
          <w:rFonts w:ascii="仿宋_GB2312" w:eastAsia="仿宋_GB2312"/>
          <w:sz w:val="24"/>
          <w:szCs w:val="24"/>
          <w:lang w:val="zh-CN"/>
        </w:rPr>
      </w:pPr>
    </w:p>
    <w:p>
      <w:pPr>
        <w:rPr>
          <w:rFonts w:ascii="仿宋_GB2312" w:eastAsia="仿宋_GB2312"/>
          <w:sz w:val="24"/>
          <w:szCs w:val="24"/>
          <w:lang w:val="zh-CN"/>
        </w:rPr>
      </w:pPr>
      <w:r>
        <w:rPr>
          <w:rFonts w:hint="eastAsia" w:ascii="仿宋_GB2312" w:eastAsia="仿宋_GB2312"/>
          <w:sz w:val="24"/>
          <w:szCs w:val="24"/>
          <w:lang w:val="zh-CN"/>
        </w:rPr>
        <w:t>二、乙方保证严格按照适用的法律法规、行政管理规定、业务守则和商业道德履行本合同。</w:t>
      </w:r>
    </w:p>
    <w:p>
      <w:pPr>
        <w:tabs>
          <w:tab w:val="left" w:pos="993"/>
        </w:tabs>
        <w:snapToGrid w:val="0"/>
        <w:rPr>
          <w:rFonts w:ascii="仿宋_GB2312" w:eastAsia="仿宋_GB2312"/>
          <w:sz w:val="24"/>
          <w:szCs w:val="24"/>
          <w:lang w:val="zh-CN"/>
        </w:rPr>
      </w:pPr>
    </w:p>
    <w:p>
      <w:pPr>
        <w:rPr>
          <w:rFonts w:ascii="仿宋_GB2312" w:eastAsia="仿宋_GB2312"/>
          <w:sz w:val="24"/>
          <w:szCs w:val="24"/>
          <w:lang w:val="zh-CN"/>
        </w:rPr>
      </w:pPr>
      <w:r>
        <w:rPr>
          <w:rFonts w:hint="eastAsia" w:ascii="仿宋_GB2312" w:eastAsia="仿宋_GB2312"/>
          <w:sz w:val="24"/>
          <w:szCs w:val="24"/>
          <w:lang w:val="zh-CN"/>
        </w:rPr>
        <w:t>三、乙方签订本合同、履行本合同项下的义务已经获得正式授权。并且，乙方没有签订在任何方面阻止、约束或限制其履行本合同项下的义务的任何其他协议或安排。</w:t>
      </w:r>
    </w:p>
    <w:p>
      <w:pPr>
        <w:spacing w:before="100" w:beforeAutospacing="1" w:after="100" w:afterAutospacing="1"/>
        <w:rPr>
          <w:rFonts w:ascii="仿宋_GB2312" w:eastAsia="仿宋_GB2312"/>
          <w:sz w:val="24"/>
          <w:szCs w:val="24"/>
        </w:rPr>
      </w:pPr>
      <w:r>
        <w:rPr>
          <w:rFonts w:hint="eastAsia" w:ascii="仿宋_GB2312" w:eastAsia="仿宋_GB2312"/>
          <w:sz w:val="24"/>
          <w:szCs w:val="24"/>
          <w:lang w:val="zh-CN"/>
        </w:rPr>
        <w:t>四、乙方应</w:t>
      </w:r>
      <w:r>
        <w:rPr>
          <w:rFonts w:hint="eastAsia" w:ascii="仿宋_GB2312" w:eastAsia="仿宋_GB2312"/>
          <w:sz w:val="24"/>
          <w:szCs w:val="24"/>
        </w:rPr>
        <w:t>迅捷、安全、高效地运输和管理甲方货物，并接受甲方的监督，无正当理由，乙方不得拒绝为甲方提供本合同项下的服务，否则甲方有权立即解除本合同，且有权要求乙方赔偿因其违约而造成的全部损失。</w:t>
      </w:r>
    </w:p>
    <w:p>
      <w:pPr>
        <w:rPr>
          <w:rFonts w:ascii="仿宋_GB2312" w:eastAsia="仿宋_GB2312"/>
          <w:sz w:val="24"/>
          <w:szCs w:val="24"/>
        </w:rPr>
      </w:pPr>
      <w:r>
        <w:rPr>
          <w:rFonts w:hint="eastAsia" w:ascii="仿宋_GB2312" w:eastAsia="仿宋_GB2312"/>
          <w:sz w:val="24"/>
          <w:szCs w:val="24"/>
        </w:rPr>
        <w:t>五、甲方委托乙方运输的货物，在任何情况下都不可成为乙方债权人的担保物品。但是，乙方作为货物的代管人对于其在货物运输过程中的疏忽或其他过错造成的货物灭失或损坏负责。</w:t>
      </w:r>
    </w:p>
    <w:p>
      <w:pPr>
        <w:ind w:firstLine="420"/>
        <w:rPr>
          <w:rFonts w:ascii="仿宋_GB2312" w:eastAsia="仿宋_GB2312"/>
          <w:sz w:val="24"/>
          <w:szCs w:val="24"/>
        </w:rPr>
      </w:pPr>
    </w:p>
    <w:p>
      <w:pPr>
        <w:rPr>
          <w:rFonts w:ascii="仿宋_GB2312" w:eastAsia="仿宋_GB2312"/>
          <w:sz w:val="24"/>
          <w:szCs w:val="24"/>
        </w:rPr>
      </w:pPr>
      <w:r>
        <w:rPr>
          <w:rFonts w:hint="eastAsia" w:ascii="仿宋_GB2312" w:eastAsia="仿宋_GB2312"/>
          <w:sz w:val="24"/>
          <w:szCs w:val="24"/>
        </w:rPr>
        <w:t>六、</w:t>
      </w:r>
      <w:r>
        <w:rPr>
          <w:rFonts w:hint="eastAsia" w:ascii="仿宋_GB2312" w:eastAsia="仿宋_GB2312"/>
          <w:sz w:val="24"/>
        </w:rPr>
        <w:t>在不违背本合同其他规定的前提下，乙方未经甲方事先书面同意不得因任何原因向甲方退回或销毁任何货物。如任何货物必须被退回和/或销毁的，应按照甲方的要求以符合适用法律的方式适当地将该等货物以及随行文件交付甲方，由甲方根据其内部流程进行处理。</w:t>
      </w:r>
    </w:p>
    <w:p>
      <w:pPr>
        <w:rPr>
          <w:rFonts w:ascii="仿宋_GB2312" w:eastAsia="仿宋_GB2312"/>
          <w:sz w:val="24"/>
          <w:szCs w:val="24"/>
        </w:rPr>
      </w:pPr>
    </w:p>
    <w:p>
      <w:pPr>
        <w:rPr>
          <w:rFonts w:ascii="仿宋_GB2312" w:eastAsia="仿宋_GB2312"/>
          <w:sz w:val="24"/>
          <w:szCs w:val="24"/>
        </w:rPr>
      </w:pPr>
      <w:r>
        <w:rPr>
          <w:rFonts w:hint="eastAsia" w:ascii="仿宋_GB2312" w:eastAsia="仿宋_GB2312"/>
          <w:sz w:val="24"/>
          <w:szCs w:val="24"/>
        </w:rPr>
        <w:t>七、非经甲方事先书面同意，乙方不得将其承担的本合同项下的义务交于任何第三方履行。如因情况紧急且出于保障甲方利益的考虑，有必要将其承担的合同义务交于第三方履行时，乙方应当及时将该情况以书面形式通知甲方，并取得甲方的同意。为避免歧义，无论何种情况下，乙方应就任何其雇佣的第三方物流服务提供者的义务按照本合同的规定向甲方承担责任。</w:t>
      </w:r>
    </w:p>
    <w:p>
      <w:pPr>
        <w:rPr>
          <w:rFonts w:ascii="仿宋_GB2312" w:eastAsia="仿宋_GB2312"/>
          <w:sz w:val="24"/>
          <w:szCs w:val="24"/>
        </w:rPr>
      </w:pPr>
    </w:p>
    <w:p>
      <w:pPr>
        <w:numPr>
          <w:ilvl w:val="0"/>
          <w:numId w:val="1"/>
        </w:numPr>
        <w:tabs>
          <w:tab w:val="left" w:pos="0"/>
          <w:tab w:val="left" w:pos="1080"/>
          <w:tab w:val="clear" w:pos="1937"/>
        </w:tabs>
        <w:ind w:left="1080" w:hanging="1080"/>
        <w:rPr>
          <w:rFonts w:ascii="仿宋_GB2312" w:eastAsia="仿宋_GB2312"/>
          <w:b/>
          <w:bCs/>
          <w:sz w:val="24"/>
          <w:szCs w:val="24"/>
        </w:rPr>
      </w:pPr>
      <w:r>
        <w:rPr>
          <w:rFonts w:hint="eastAsia" w:ascii="仿宋_GB2312" w:eastAsia="仿宋_GB2312"/>
          <w:b/>
          <w:bCs/>
          <w:sz w:val="24"/>
          <w:szCs w:val="24"/>
        </w:rPr>
        <w:t>履约保证金</w:t>
      </w:r>
    </w:p>
    <w:p>
      <w:pPr>
        <w:tabs>
          <w:tab w:val="left" w:pos="0"/>
          <w:tab w:val="left" w:pos="1080"/>
        </w:tabs>
        <w:ind w:left="1080"/>
        <w:rPr>
          <w:rFonts w:ascii="仿宋_GB2312" w:eastAsia="仿宋_GB2312"/>
          <w:b/>
          <w:bCs/>
          <w:sz w:val="24"/>
          <w:szCs w:val="24"/>
        </w:rPr>
      </w:pPr>
    </w:p>
    <w:p>
      <w:pPr>
        <w:pStyle w:val="49"/>
        <w:numPr>
          <w:ilvl w:val="0"/>
          <w:numId w:val="3"/>
        </w:numPr>
        <w:ind w:firstLineChars="0"/>
        <w:rPr>
          <w:rFonts w:hint="eastAsia" w:ascii="仿宋_GB2312" w:eastAsia="仿宋_GB2312"/>
          <w:sz w:val="24"/>
          <w:szCs w:val="24"/>
        </w:rPr>
      </w:pPr>
      <w:r>
        <w:rPr>
          <w:rFonts w:hint="eastAsia" w:ascii="仿宋_GB2312" w:eastAsia="仿宋_GB2312"/>
          <w:sz w:val="24"/>
          <w:szCs w:val="24"/>
        </w:rPr>
        <w:t>乙方应在协议签订之日起七日内向甲方一次性支付【50000】元人民币的履约保证金。乙方未能如期全额交清履约保证金的，甲方有权要求乙方每逾期一日支付履约保证金5‰的违约金；如乙方逾期缴纳履约保证金达到十五日，甲方有权解除本协议。</w:t>
      </w:r>
    </w:p>
    <w:p>
      <w:pPr>
        <w:pStyle w:val="49"/>
        <w:ind w:left="360" w:firstLine="0" w:firstLineChars="0"/>
        <w:rPr>
          <w:rFonts w:ascii="仿宋_GB2312" w:eastAsia="仿宋_GB2312"/>
          <w:sz w:val="24"/>
          <w:szCs w:val="24"/>
        </w:rPr>
      </w:pPr>
    </w:p>
    <w:p>
      <w:pPr>
        <w:pStyle w:val="49"/>
        <w:numPr>
          <w:ilvl w:val="0"/>
          <w:numId w:val="3"/>
        </w:numPr>
        <w:ind w:firstLineChars="0"/>
        <w:rPr>
          <w:rFonts w:hint="eastAsia" w:ascii="仿宋_GB2312" w:eastAsia="仿宋_GB2312"/>
          <w:sz w:val="24"/>
          <w:szCs w:val="24"/>
        </w:rPr>
      </w:pPr>
      <w:r>
        <w:rPr>
          <w:rFonts w:hint="eastAsia" w:ascii="仿宋_GB2312" w:eastAsia="仿宋_GB2312"/>
          <w:sz w:val="24"/>
          <w:szCs w:val="24"/>
        </w:rPr>
        <w:t>甲方在任何时候都有权从履约保证金中扣除由于乙方违反本协议条款而导致损失的相应金额、修复费用或违约金额，并且乙方应在接到扣除通知后十五日内，补充扣除额，以维持仓储期间履约保证金的完整性。超过十五日不补足的，甲方有权单方面终止本协议。</w:t>
      </w:r>
    </w:p>
    <w:p>
      <w:pPr>
        <w:pStyle w:val="49"/>
        <w:ind w:firstLine="480"/>
        <w:rPr>
          <w:rFonts w:hint="eastAsia" w:ascii="仿宋_GB2312" w:eastAsia="仿宋_GB2312"/>
          <w:sz w:val="24"/>
          <w:szCs w:val="24"/>
        </w:rPr>
      </w:pPr>
    </w:p>
    <w:p>
      <w:pPr>
        <w:pStyle w:val="49"/>
        <w:numPr>
          <w:ilvl w:val="0"/>
          <w:numId w:val="3"/>
        </w:numPr>
        <w:ind w:firstLineChars="0"/>
        <w:rPr>
          <w:rFonts w:hint="eastAsia" w:ascii="仿宋_GB2312" w:eastAsia="仿宋_GB2312"/>
          <w:sz w:val="24"/>
          <w:szCs w:val="24"/>
        </w:rPr>
      </w:pPr>
      <w:r>
        <w:rPr>
          <w:rFonts w:hint="eastAsia" w:ascii="仿宋_GB2312" w:eastAsia="仿宋_GB2312"/>
          <w:sz w:val="24"/>
          <w:szCs w:val="24"/>
        </w:rPr>
        <w:t>本合同期内，如乙方未发生本条第2项所述情况，或发生违约行为按本协议约定被扣除履约保证金后又予以补足的，双方在本协议期满或提前终止并结清各项费用后，甲方将履约保证金一次性无息退还甲方。</w:t>
      </w:r>
    </w:p>
    <w:p>
      <w:pPr>
        <w:rPr>
          <w:rFonts w:ascii="仿宋_GB2312" w:eastAsia="仿宋_GB2312"/>
          <w:sz w:val="24"/>
          <w:szCs w:val="24"/>
        </w:rPr>
      </w:pPr>
    </w:p>
    <w:p>
      <w:pPr>
        <w:numPr>
          <w:ilvl w:val="0"/>
          <w:numId w:val="1"/>
        </w:numPr>
        <w:tabs>
          <w:tab w:val="left" w:pos="0"/>
          <w:tab w:val="left" w:pos="1080"/>
          <w:tab w:val="clear" w:pos="1937"/>
        </w:tabs>
        <w:ind w:left="1080" w:hanging="1080"/>
        <w:rPr>
          <w:rFonts w:ascii="仿宋_GB2312" w:eastAsia="仿宋_GB2312"/>
          <w:b/>
          <w:bCs/>
          <w:sz w:val="24"/>
          <w:szCs w:val="24"/>
        </w:rPr>
      </w:pPr>
      <w:r>
        <w:rPr>
          <w:rFonts w:hint="eastAsia" w:ascii="仿宋_GB2312" w:eastAsia="仿宋_GB2312"/>
          <w:b/>
          <w:bCs/>
          <w:sz w:val="24"/>
          <w:szCs w:val="24"/>
        </w:rPr>
        <w:t>短驳运输服务要求</w:t>
      </w:r>
    </w:p>
    <w:p>
      <w:pPr>
        <w:rPr>
          <w:rFonts w:ascii="仿宋_GB2312" w:eastAsia="仿宋_GB2312"/>
          <w:sz w:val="24"/>
          <w:szCs w:val="24"/>
          <w:lang w:val="zh-CN"/>
        </w:rPr>
      </w:pPr>
    </w:p>
    <w:p>
      <w:pPr>
        <w:widowControl/>
        <w:numPr>
          <w:ilvl w:val="3"/>
          <w:numId w:val="4"/>
        </w:numPr>
        <w:ind w:left="426"/>
        <w:jc w:val="left"/>
        <w:rPr>
          <w:rFonts w:ascii="仿宋_GB2312" w:eastAsia="仿宋_GB2312"/>
          <w:b/>
          <w:sz w:val="24"/>
          <w:szCs w:val="24"/>
          <w:lang w:val="zh-CN"/>
        </w:rPr>
      </w:pPr>
      <w:r>
        <w:rPr>
          <w:rFonts w:hint="eastAsia" w:ascii="仿宋_GB2312" w:eastAsia="仿宋_GB2312"/>
          <w:b/>
          <w:sz w:val="24"/>
          <w:szCs w:val="24"/>
          <w:lang w:val="zh-CN"/>
        </w:rPr>
        <w:t>基本要求</w:t>
      </w:r>
    </w:p>
    <w:p>
      <w:pPr>
        <w:rPr>
          <w:rFonts w:ascii="仿宋_GB2312" w:eastAsia="仿宋_GB2312"/>
          <w:sz w:val="24"/>
          <w:szCs w:val="24"/>
          <w:lang w:val="zh-CN"/>
        </w:rPr>
      </w:pPr>
    </w:p>
    <w:p>
      <w:pPr>
        <w:numPr>
          <w:ilvl w:val="6"/>
          <w:numId w:val="2"/>
        </w:numPr>
        <w:ind w:left="426"/>
        <w:rPr>
          <w:rFonts w:ascii="仿宋_GB2312" w:eastAsia="仿宋_GB2312"/>
          <w:sz w:val="24"/>
          <w:szCs w:val="24"/>
        </w:rPr>
      </w:pPr>
      <w:r>
        <w:rPr>
          <w:rFonts w:hint="eastAsia" w:ascii="仿宋_GB2312" w:eastAsia="仿宋_GB2312"/>
          <w:sz w:val="24"/>
          <w:szCs w:val="24"/>
        </w:rPr>
        <w:t>运输线路：工厂和仓库之间往返。</w:t>
      </w:r>
    </w:p>
    <w:p>
      <w:pPr>
        <w:numPr>
          <w:ilvl w:val="6"/>
          <w:numId w:val="2"/>
        </w:numPr>
        <w:ind w:left="426"/>
        <w:rPr>
          <w:rFonts w:ascii="仿宋_GB2312" w:eastAsia="仿宋_GB2312"/>
          <w:sz w:val="24"/>
          <w:szCs w:val="24"/>
        </w:rPr>
      </w:pPr>
      <w:r>
        <w:rPr>
          <w:rFonts w:hint="eastAsia" w:ascii="仿宋_GB2312" w:eastAsia="仿宋_GB2312"/>
          <w:sz w:val="24"/>
          <w:szCs w:val="24"/>
        </w:rPr>
        <w:t>2个车头、4个车挂、2个司机。</w:t>
      </w:r>
    </w:p>
    <w:p>
      <w:pPr>
        <w:numPr>
          <w:ilvl w:val="6"/>
          <w:numId w:val="2"/>
        </w:numPr>
        <w:ind w:left="426"/>
        <w:rPr>
          <w:rFonts w:ascii="仿宋_GB2312" w:eastAsia="仿宋_GB2312"/>
          <w:sz w:val="24"/>
          <w:szCs w:val="24"/>
        </w:rPr>
      </w:pPr>
      <w:r>
        <w:rPr>
          <w:rFonts w:hint="eastAsia" w:ascii="仿宋_GB2312" w:eastAsia="仿宋_GB2312"/>
          <w:sz w:val="24"/>
          <w:szCs w:val="24"/>
        </w:rPr>
        <w:t>按合同规定线路进行运输。</w:t>
      </w:r>
    </w:p>
    <w:p>
      <w:pPr>
        <w:numPr>
          <w:ilvl w:val="6"/>
          <w:numId w:val="2"/>
        </w:numPr>
        <w:ind w:left="851" w:hanging="785"/>
        <w:rPr>
          <w:rFonts w:ascii="仿宋_GB2312" w:eastAsia="仿宋_GB2312"/>
          <w:sz w:val="24"/>
          <w:szCs w:val="24"/>
        </w:rPr>
      </w:pPr>
      <w:r>
        <w:rPr>
          <w:rFonts w:hint="eastAsia" w:ascii="仿宋_GB2312" w:eastAsia="仿宋_GB2312"/>
          <w:sz w:val="24"/>
          <w:szCs w:val="24"/>
        </w:rPr>
        <w:t>厢式车，车厢内尺寸：12m*2.45m（长*宽），车厢采用后双开门并设置保险档杆用于与工厂安全挂钩链接。</w:t>
      </w:r>
    </w:p>
    <w:p>
      <w:pPr>
        <w:numPr>
          <w:ilvl w:val="6"/>
          <w:numId w:val="2"/>
        </w:numPr>
        <w:ind w:left="851" w:hanging="785"/>
        <w:rPr>
          <w:rFonts w:ascii="仿宋_GB2312" w:eastAsia="仿宋_GB2312"/>
          <w:sz w:val="24"/>
          <w:szCs w:val="24"/>
        </w:rPr>
      </w:pPr>
      <w:r>
        <w:rPr>
          <w:rFonts w:hint="eastAsia" w:ascii="仿宋_GB2312" w:eastAsia="仿宋_GB2312"/>
          <w:sz w:val="24"/>
          <w:szCs w:val="24"/>
        </w:rPr>
        <w:t>短驳车辆应该满足干净、整洁、无污染、全封闭、防雨防盗的要求，车辆地板及箱体光滑、平整、不变形。</w:t>
      </w:r>
    </w:p>
    <w:p>
      <w:pPr>
        <w:numPr>
          <w:ilvl w:val="6"/>
          <w:numId w:val="2"/>
        </w:numPr>
        <w:ind w:left="851" w:hanging="785"/>
        <w:rPr>
          <w:rFonts w:ascii="仿宋_GB2312" w:eastAsia="仿宋_GB2312"/>
          <w:sz w:val="24"/>
          <w:szCs w:val="24"/>
        </w:rPr>
      </w:pPr>
      <w:r>
        <w:rPr>
          <w:rFonts w:hint="eastAsia" w:ascii="仿宋_GB2312" w:eastAsia="仿宋_GB2312"/>
          <w:sz w:val="24"/>
          <w:szCs w:val="24"/>
        </w:rPr>
        <w:t>短驳车车厢与门之间设置防虫网。</w:t>
      </w:r>
    </w:p>
    <w:p>
      <w:pPr>
        <w:numPr>
          <w:ilvl w:val="6"/>
          <w:numId w:val="2"/>
        </w:numPr>
        <w:ind w:left="851" w:hanging="785"/>
        <w:rPr>
          <w:rFonts w:ascii="仿宋_GB2312" w:eastAsia="仿宋_GB2312"/>
          <w:sz w:val="24"/>
          <w:szCs w:val="24"/>
        </w:rPr>
      </w:pPr>
      <w:r>
        <w:rPr>
          <w:rFonts w:hint="eastAsia" w:ascii="仿宋_GB2312" w:eastAsia="仿宋_GB2312"/>
          <w:sz w:val="24"/>
          <w:szCs w:val="24"/>
        </w:rPr>
        <w:t>车厢内需要有固定用防滑围网。</w:t>
      </w:r>
    </w:p>
    <w:p>
      <w:pPr>
        <w:tabs>
          <w:tab w:val="left" w:pos="2760"/>
        </w:tabs>
        <w:ind w:left="851"/>
        <w:rPr>
          <w:rFonts w:ascii="仿宋_GB2312" w:eastAsia="仿宋_GB2312"/>
          <w:sz w:val="24"/>
          <w:szCs w:val="24"/>
        </w:rPr>
      </w:pPr>
    </w:p>
    <w:p>
      <w:pPr>
        <w:pStyle w:val="42"/>
        <w:widowControl/>
        <w:numPr>
          <w:ilvl w:val="0"/>
          <w:numId w:val="2"/>
        </w:numPr>
        <w:ind w:firstLineChars="0"/>
        <w:jc w:val="left"/>
        <w:rPr>
          <w:rFonts w:ascii="仿宋_GB2312" w:eastAsia="仿宋_GB2312"/>
          <w:vanish/>
          <w:kern w:val="0"/>
          <w:sz w:val="24"/>
          <w:lang w:val="zh-CN"/>
        </w:rPr>
      </w:pPr>
    </w:p>
    <w:p>
      <w:pPr>
        <w:pStyle w:val="42"/>
        <w:widowControl/>
        <w:numPr>
          <w:ilvl w:val="1"/>
          <w:numId w:val="2"/>
        </w:numPr>
        <w:ind w:firstLineChars="0"/>
        <w:jc w:val="left"/>
        <w:rPr>
          <w:rFonts w:ascii="仿宋_GB2312" w:eastAsia="仿宋_GB2312"/>
          <w:vanish/>
          <w:kern w:val="0"/>
          <w:sz w:val="24"/>
          <w:lang w:val="zh-CN"/>
        </w:rPr>
      </w:pPr>
    </w:p>
    <w:p>
      <w:pPr>
        <w:pStyle w:val="42"/>
        <w:widowControl/>
        <w:numPr>
          <w:ilvl w:val="2"/>
          <w:numId w:val="2"/>
        </w:numPr>
        <w:ind w:firstLineChars="0"/>
        <w:jc w:val="left"/>
        <w:rPr>
          <w:rFonts w:ascii="仿宋_GB2312" w:eastAsia="仿宋_GB2312"/>
          <w:vanish/>
          <w:kern w:val="0"/>
          <w:sz w:val="24"/>
          <w:lang w:val="zh-CN"/>
        </w:rPr>
      </w:pPr>
    </w:p>
    <w:p>
      <w:pPr>
        <w:pStyle w:val="42"/>
        <w:widowControl/>
        <w:numPr>
          <w:ilvl w:val="3"/>
          <w:numId w:val="2"/>
        </w:numPr>
        <w:ind w:firstLineChars="0"/>
        <w:jc w:val="left"/>
        <w:rPr>
          <w:rFonts w:ascii="仿宋_GB2312" w:eastAsia="仿宋_GB2312"/>
          <w:vanish/>
          <w:kern w:val="0"/>
          <w:sz w:val="24"/>
          <w:lang w:val="zh-CN"/>
        </w:rPr>
      </w:pPr>
    </w:p>
    <w:p>
      <w:pPr>
        <w:pStyle w:val="42"/>
        <w:widowControl/>
        <w:numPr>
          <w:ilvl w:val="3"/>
          <w:numId w:val="2"/>
        </w:numPr>
        <w:ind w:firstLineChars="0"/>
        <w:jc w:val="left"/>
        <w:rPr>
          <w:rFonts w:ascii="仿宋_GB2312" w:eastAsia="仿宋_GB2312"/>
          <w:vanish/>
          <w:kern w:val="0"/>
          <w:sz w:val="24"/>
          <w:lang w:val="zh-CN"/>
        </w:rPr>
      </w:pPr>
    </w:p>
    <w:p>
      <w:pPr>
        <w:pStyle w:val="42"/>
        <w:widowControl/>
        <w:numPr>
          <w:ilvl w:val="3"/>
          <w:numId w:val="2"/>
        </w:numPr>
        <w:ind w:firstLineChars="0"/>
        <w:jc w:val="left"/>
        <w:rPr>
          <w:rFonts w:ascii="仿宋_GB2312" w:eastAsia="仿宋_GB2312"/>
          <w:vanish/>
          <w:kern w:val="0"/>
          <w:sz w:val="24"/>
          <w:lang w:val="zh-CN"/>
        </w:rPr>
      </w:pPr>
    </w:p>
    <w:p>
      <w:pPr>
        <w:pStyle w:val="42"/>
        <w:widowControl/>
        <w:numPr>
          <w:ilvl w:val="3"/>
          <w:numId w:val="2"/>
        </w:numPr>
        <w:ind w:firstLineChars="0"/>
        <w:jc w:val="left"/>
        <w:rPr>
          <w:rFonts w:ascii="仿宋_GB2312" w:eastAsia="仿宋_GB2312"/>
          <w:vanish/>
          <w:kern w:val="0"/>
          <w:sz w:val="24"/>
          <w:lang w:val="zh-CN"/>
        </w:rPr>
      </w:pPr>
    </w:p>
    <w:p>
      <w:pPr>
        <w:pStyle w:val="42"/>
        <w:widowControl/>
        <w:numPr>
          <w:ilvl w:val="3"/>
          <w:numId w:val="2"/>
        </w:numPr>
        <w:ind w:firstLineChars="0"/>
        <w:jc w:val="left"/>
        <w:rPr>
          <w:rFonts w:ascii="仿宋_GB2312" w:eastAsia="仿宋_GB2312"/>
          <w:vanish/>
          <w:kern w:val="0"/>
          <w:sz w:val="24"/>
          <w:lang w:val="zh-CN"/>
        </w:rPr>
      </w:pPr>
    </w:p>
    <w:p>
      <w:pPr>
        <w:widowControl/>
        <w:numPr>
          <w:ilvl w:val="0"/>
          <w:numId w:val="4"/>
        </w:numPr>
        <w:jc w:val="left"/>
        <w:rPr>
          <w:rFonts w:ascii="仿宋_GB2312" w:eastAsia="仿宋_GB2312"/>
          <w:b/>
          <w:sz w:val="24"/>
          <w:szCs w:val="24"/>
          <w:lang w:val="zh-CN"/>
        </w:rPr>
      </w:pPr>
      <w:r>
        <w:rPr>
          <w:rFonts w:hint="eastAsia" w:ascii="仿宋_GB2312" w:eastAsia="仿宋_GB2312"/>
          <w:b/>
          <w:sz w:val="24"/>
          <w:szCs w:val="24"/>
          <w:lang w:val="zh-CN"/>
        </w:rPr>
        <w:t>短驳司机基本要求</w:t>
      </w:r>
    </w:p>
    <w:p>
      <w:pPr>
        <w:ind w:left="420"/>
        <w:rPr>
          <w:rFonts w:ascii="仿宋_GB2312" w:eastAsia="仿宋_GB2312"/>
          <w:b/>
          <w:sz w:val="24"/>
          <w:szCs w:val="24"/>
          <w:lang w:val="zh-CN"/>
        </w:rPr>
      </w:pPr>
    </w:p>
    <w:p>
      <w:pPr>
        <w:widowControl/>
        <w:numPr>
          <w:ilvl w:val="6"/>
          <w:numId w:val="2"/>
        </w:numPr>
        <w:ind w:left="426"/>
        <w:jc w:val="left"/>
        <w:rPr>
          <w:rFonts w:ascii="仿宋_GB2312" w:eastAsia="仿宋_GB2312"/>
          <w:sz w:val="24"/>
          <w:szCs w:val="24"/>
          <w:lang w:val="zh-CN"/>
        </w:rPr>
      </w:pPr>
      <w:r>
        <w:rPr>
          <w:rFonts w:hint="eastAsia" w:ascii="仿宋_GB2312" w:eastAsia="仿宋_GB2312"/>
          <w:sz w:val="24"/>
          <w:szCs w:val="24"/>
          <w:lang w:val="zh-CN"/>
        </w:rPr>
        <w:t>完成工厂相关的培训</w:t>
      </w:r>
    </w:p>
    <w:p>
      <w:pPr>
        <w:widowControl/>
        <w:numPr>
          <w:ilvl w:val="6"/>
          <w:numId w:val="2"/>
        </w:numPr>
        <w:ind w:left="426"/>
        <w:jc w:val="left"/>
        <w:rPr>
          <w:rFonts w:ascii="仿宋_GB2312" w:eastAsia="仿宋_GB2312"/>
          <w:sz w:val="24"/>
          <w:szCs w:val="24"/>
          <w:lang w:val="zh-CN"/>
        </w:rPr>
      </w:pPr>
      <w:r>
        <w:rPr>
          <w:rFonts w:hint="eastAsia" w:ascii="仿宋_GB2312" w:eastAsia="仿宋_GB2312"/>
          <w:sz w:val="24"/>
          <w:szCs w:val="24"/>
          <w:lang w:val="zh-CN"/>
        </w:rPr>
        <w:t>在仓库和工厂需遵循相关安全及管理规定。</w:t>
      </w:r>
    </w:p>
    <w:p>
      <w:pPr>
        <w:widowControl/>
        <w:numPr>
          <w:ilvl w:val="6"/>
          <w:numId w:val="2"/>
        </w:numPr>
        <w:ind w:left="426"/>
        <w:jc w:val="left"/>
        <w:rPr>
          <w:rFonts w:ascii="仿宋_GB2312" w:eastAsia="仿宋_GB2312"/>
          <w:sz w:val="24"/>
          <w:szCs w:val="24"/>
          <w:lang w:val="zh-CN"/>
        </w:rPr>
      </w:pPr>
      <w:r>
        <w:rPr>
          <w:rFonts w:hint="eastAsia" w:ascii="仿宋_GB2312" w:eastAsia="仿宋_GB2312"/>
          <w:sz w:val="24"/>
          <w:szCs w:val="24"/>
          <w:lang w:val="zh-CN"/>
        </w:rPr>
        <w:t>短驳车在工厂及仓库区域内限速15公里/小时。</w:t>
      </w:r>
    </w:p>
    <w:p>
      <w:pPr>
        <w:widowControl/>
        <w:numPr>
          <w:ilvl w:val="6"/>
          <w:numId w:val="2"/>
        </w:numPr>
        <w:ind w:left="426"/>
        <w:jc w:val="left"/>
        <w:rPr>
          <w:rFonts w:ascii="仿宋_GB2312" w:eastAsia="仿宋_GB2312"/>
          <w:sz w:val="24"/>
          <w:szCs w:val="24"/>
          <w:lang w:val="zh-CN"/>
        </w:rPr>
      </w:pPr>
      <w:r>
        <w:rPr>
          <w:rFonts w:hint="eastAsia" w:ascii="仿宋_GB2312" w:eastAsia="仿宋_GB2312"/>
          <w:sz w:val="24"/>
          <w:szCs w:val="24"/>
          <w:lang w:val="zh-CN"/>
        </w:rPr>
        <w:t>车辆须停放在指定的区域。</w:t>
      </w:r>
    </w:p>
    <w:p>
      <w:pPr>
        <w:widowControl/>
        <w:numPr>
          <w:ilvl w:val="6"/>
          <w:numId w:val="2"/>
        </w:numPr>
        <w:ind w:left="426"/>
        <w:jc w:val="left"/>
        <w:rPr>
          <w:rFonts w:ascii="仿宋_GB2312" w:eastAsia="仿宋_GB2312"/>
          <w:sz w:val="24"/>
          <w:szCs w:val="24"/>
          <w:lang w:val="zh-CN"/>
        </w:rPr>
      </w:pPr>
      <w:r>
        <w:rPr>
          <w:rFonts w:hint="eastAsia" w:ascii="仿宋_GB2312" w:eastAsia="仿宋_GB2312"/>
          <w:sz w:val="24"/>
          <w:szCs w:val="24"/>
          <w:lang w:val="zh-CN"/>
        </w:rPr>
        <w:t>车辆到达工厂或仓库立即通知物料操作员，并配合操作员进行操作。</w:t>
      </w:r>
    </w:p>
    <w:p>
      <w:pPr>
        <w:widowControl/>
        <w:numPr>
          <w:ilvl w:val="6"/>
          <w:numId w:val="2"/>
        </w:numPr>
        <w:ind w:left="426"/>
        <w:jc w:val="left"/>
        <w:rPr>
          <w:rFonts w:ascii="仿宋_GB2312" w:eastAsia="仿宋_GB2312"/>
          <w:sz w:val="24"/>
          <w:szCs w:val="24"/>
          <w:lang w:val="zh-CN"/>
        </w:rPr>
      </w:pPr>
      <w:r>
        <w:rPr>
          <w:rFonts w:hint="eastAsia" w:ascii="仿宋_GB2312" w:eastAsia="仿宋_GB2312"/>
          <w:sz w:val="24"/>
          <w:szCs w:val="24"/>
          <w:lang w:val="zh-CN"/>
        </w:rPr>
        <w:t>司机每天从工厂上班，发车前须对车辆进行检查。</w:t>
      </w:r>
    </w:p>
    <w:p>
      <w:pPr>
        <w:ind w:left="66"/>
        <w:rPr>
          <w:rFonts w:ascii="仿宋_GB2312" w:eastAsia="仿宋_GB2312"/>
          <w:sz w:val="24"/>
          <w:szCs w:val="24"/>
          <w:lang w:val="zh-CN"/>
        </w:rPr>
      </w:pPr>
    </w:p>
    <w:p>
      <w:pPr>
        <w:widowControl/>
        <w:numPr>
          <w:ilvl w:val="0"/>
          <w:numId w:val="4"/>
        </w:numPr>
        <w:jc w:val="left"/>
        <w:rPr>
          <w:rFonts w:ascii="仿宋_GB2312" w:eastAsia="仿宋_GB2312"/>
          <w:b/>
          <w:sz w:val="24"/>
          <w:szCs w:val="24"/>
          <w:lang w:val="zh-CN"/>
        </w:rPr>
      </w:pPr>
      <w:r>
        <w:rPr>
          <w:rFonts w:hint="eastAsia" w:ascii="仿宋_GB2312" w:eastAsia="仿宋_GB2312"/>
          <w:b/>
          <w:sz w:val="24"/>
          <w:szCs w:val="24"/>
          <w:lang w:val="zh-CN"/>
        </w:rPr>
        <w:t>司机与物料操作员的沟通</w:t>
      </w:r>
    </w:p>
    <w:p>
      <w:pPr>
        <w:ind w:left="420"/>
        <w:rPr>
          <w:rFonts w:ascii="仿宋_GB2312" w:eastAsia="仿宋_GB2312"/>
          <w:b/>
          <w:sz w:val="24"/>
          <w:szCs w:val="24"/>
          <w:lang w:val="zh-CN"/>
        </w:rPr>
      </w:pPr>
    </w:p>
    <w:p>
      <w:pPr>
        <w:numPr>
          <w:ilvl w:val="0"/>
          <w:numId w:val="5"/>
        </w:numPr>
        <w:ind w:left="426"/>
        <w:rPr>
          <w:rFonts w:ascii="仿宋_GB2312" w:eastAsia="仿宋_GB2312"/>
          <w:sz w:val="24"/>
          <w:szCs w:val="24"/>
          <w:lang w:val="zh-CN"/>
        </w:rPr>
      </w:pPr>
      <w:r>
        <w:rPr>
          <w:rFonts w:hint="eastAsia" w:ascii="仿宋_GB2312" w:eastAsia="仿宋_GB2312"/>
          <w:sz w:val="24"/>
          <w:szCs w:val="24"/>
          <w:lang w:val="zh-CN"/>
        </w:rPr>
        <w:t>司机在发车前须得到物料操作员的通知，确认码头升降门及卸货平台已经关闭后才能启动发车。</w:t>
      </w:r>
    </w:p>
    <w:p>
      <w:pPr>
        <w:numPr>
          <w:ilvl w:val="0"/>
          <w:numId w:val="5"/>
        </w:numPr>
        <w:ind w:left="426"/>
        <w:rPr>
          <w:rFonts w:ascii="仿宋_GB2312" w:eastAsia="仿宋_GB2312"/>
          <w:sz w:val="24"/>
          <w:szCs w:val="24"/>
          <w:lang w:val="zh-CN"/>
        </w:rPr>
      </w:pPr>
      <w:r>
        <w:rPr>
          <w:rFonts w:hint="eastAsia" w:ascii="仿宋_GB2312" w:eastAsia="仿宋_GB2312"/>
          <w:sz w:val="24"/>
          <w:szCs w:val="24"/>
          <w:lang w:val="zh-CN"/>
        </w:rPr>
        <w:t>司机换挂前须提前通知物料操作员，得到回复后才能进行换挂操作。</w:t>
      </w:r>
    </w:p>
    <w:p>
      <w:pPr>
        <w:numPr>
          <w:ilvl w:val="0"/>
          <w:numId w:val="5"/>
        </w:numPr>
        <w:ind w:left="426"/>
        <w:rPr>
          <w:rFonts w:ascii="仿宋_GB2312" w:eastAsia="仿宋_GB2312"/>
          <w:sz w:val="24"/>
          <w:szCs w:val="24"/>
          <w:lang w:val="zh-CN"/>
        </w:rPr>
      </w:pPr>
      <w:r>
        <w:rPr>
          <w:rFonts w:hint="eastAsia" w:ascii="仿宋_GB2312" w:eastAsia="仿宋_GB2312"/>
          <w:sz w:val="24"/>
          <w:szCs w:val="24"/>
          <w:lang w:val="zh-CN"/>
        </w:rPr>
        <w:t>当天临时有调整或取消发车的，物料操作员将会及时将此信息通知司机，需要收到司机的确认回复。</w:t>
      </w:r>
    </w:p>
    <w:p>
      <w:pPr>
        <w:numPr>
          <w:ilvl w:val="0"/>
          <w:numId w:val="5"/>
        </w:numPr>
        <w:ind w:left="426"/>
        <w:rPr>
          <w:rFonts w:ascii="仿宋_GB2312" w:eastAsia="仿宋_GB2312"/>
          <w:sz w:val="24"/>
          <w:szCs w:val="24"/>
          <w:lang w:val="zh-CN"/>
        </w:rPr>
      </w:pPr>
      <w:r>
        <w:rPr>
          <w:rFonts w:hint="eastAsia" w:ascii="仿宋_GB2312" w:eastAsia="仿宋_GB2312"/>
          <w:sz w:val="24"/>
          <w:szCs w:val="24"/>
          <w:lang w:val="zh-CN"/>
        </w:rPr>
        <w:t>工厂当天最后一车的发车时间必须提前与仓库物料操作员联系确认，避免车辆到达后无人卸货。</w:t>
      </w:r>
    </w:p>
    <w:p>
      <w:pPr>
        <w:ind w:left="851"/>
        <w:rPr>
          <w:rFonts w:ascii="仿宋_GB2312" w:eastAsia="仿宋_GB2312"/>
          <w:sz w:val="24"/>
          <w:szCs w:val="24"/>
          <w:lang w:val="zh-CN"/>
        </w:rPr>
      </w:pPr>
    </w:p>
    <w:p>
      <w:pPr>
        <w:numPr>
          <w:ilvl w:val="0"/>
          <w:numId w:val="4"/>
        </w:numPr>
        <w:rPr>
          <w:rFonts w:ascii="仿宋_GB2312" w:eastAsia="仿宋_GB2312"/>
          <w:b/>
          <w:sz w:val="24"/>
          <w:szCs w:val="24"/>
          <w:lang w:val="zh-CN"/>
        </w:rPr>
      </w:pPr>
      <w:r>
        <w:rPr>
          <w:rFonts w:hint="eastAsia" w:ascii="仿宋_GB2312" w:eastAsia="仿宋_GB2312"/>
          <w:b/>
          <w:sz w:val="24"/>
          <w:szCs w:val="24"/>
          <w:lang w:val="zh-CN"/>
        </w:rPr>
        <w:t>车辆清洁</w:t>
      </w:r>
    </w:p>
    <w:p>
      <w:pPr>
        <w:ind w:left="420"/>
        <w:rPr>
          <w:rFonts w:ascii="仿宋_GB2312" w:eastAsia="仿宋_GB2312"/>
          <w:b/>
          <w:sz w:val="24"/>
          <w:szCs w:val="24"/>
          <w:lang w:val="zh-CN"/>
        </w:rPr>
      </w:pPr>
    </w:p>
    <w:p>
      <w:pPr>
        <w:numPr>
          <w:ilvl w:val="0"/>
          <w:numId w:val="6"/>
        </w:numPr>
        <w:ind w:left="426"/>
        <w:rPr>
          <w:rFonts w:ascii="仿宋_GB2312" w:eastAsia="仿宋_GB2312"/>
          <w:sz w:val="24"/>
          <w:szCs w:val="24"/>
          <w:lang w:val="zh-CN"/>
        </w:rPr>
      </w:pPr>
      <w:r>
        <w:rPr>
          <w:rFonts w:hint="eastAsia" w:ascii="仿宋_GB2312" w:eastAsia="仿宋_GB2312"/>
          <w:sz w:val="24"/>
          <w:szCs w:val="24"/>
          <w:lang w:val="zh-CN"/>
        </w:rPr>
        <w:t>司机应每天对车厢外表清洁情况进行检查，并定期进行清洁。</w:t>
      </w:r>
    </w:p>
    <w:p>
      <w:pPr>
        <w:numPr>
          <w:ilvl w:val="0"/>
          <w:numId w:val="6"/>
        </w:numPr>
        <w:ind w:left="426"/>
        <w:rPr>
          <w:rFonts w:ascii="仿宋_GB2312" w:eastAsia="仿宋_GB2312"/>
          <w:sz w:val="24"/>
          <w:szCs w:val="24"/>
          <w:lang w:val="zh-CN"/>
        </w:rPr>
      </w:pPr>
      <w:r>
        <w:rPr>
          <w:rFonts w:hint="eastAsia" w:ascii="仿宋_GB2312" w:eastAsia="仿宋_GB2312"/>
          <w:sz w:val="24"/>
          <w:szCs w:val="24"/>
          <w:lang w:val="zh-CN"/>
        </w:rPr>
        <w:t>车厢内的清洁频率为：1次/天。</w:t>
      </w:r>
    </w:p>
    <w:p>
      <w:pPr>
        <w:ind w:left="426"/>
        <w:rPr>
          <w:rFonts w:ascii="仿宋_GB2312" w:eastAsia="仿宋_GB2312"/>
          <w:sz w:val="24"/>
          <w:szCs w:val="24"/>
          <w:lang w:val="zh-CN"/>
        </w:rPr>
      </w:pPr>
    </w:p>
    <w:p>
      <w:pPr>
        <w:numPr>
          <w:ilvl w:val="0"/>
          <w:numId w:val="4"/>
        </w:numPr>
        <w:rPr>
          <w:rFonts w:ascii="仿宋_GB2312" w:eastAsia="仿宋_GB2312"/>
          <w:b/>
          <w:sz w:val="24"/>
          <w:szCs w:val="24"/>
          <w:lang w:val="zh-CN"/>
        </w:rPr>
      </w:pPr>
      <w:r>
        <w:rPr>
          <w:rFonts w:hint="eastAsia" w:ascii="仿宋_GB2312" w:eastAsia="仿宋_GB2312"/>
          <w:b/>
          <w:sz w:val="24"/>
          <w:szCs w:val="24"/>
          <w:lang w:val="zh-CN"/>
        </w:rPr>
        <w:t>在途特殊情况处理</w:t>
      </w:r>
    </w:p>
    <w:p>
      <w:pPr>
        <w:ind w:left="420"/>
        <w:rPr>
          <w:rFonts w:ascii="仿宋_GB2312" w:eastAsia="仿宋_GB2312"/>
          <w:b/>
          <w:sz w:val="24"/>
          <w:szCs w:val="24"/>
          <w:lang w:val="zh-CN"/>
        </w:rPr>
      </w:pPr>
    </w:p>
    <w:p>
      <w:pPr>
        <w:numPr>
          <w:ilvl w:val="0"/>
          <w:numId w:val="7"/>
        </w:numPr>
        <w:ind w:left="426"/>
        <w:rPr>
          <w:rFonts w:ascii="仿宋_GB2312" w:eastAsia="仿宋_GB2312"/>
          <w:sz w:val="24"/>
          <w:szCs w:val="24"/>
          <w:lang w:val="zh-CN"/>
        </w:rPr>
      </w:pPr>
      <w:r>
        <w:rPr>
          <w:rFonts w:hint="eastAsia" w:ascii="仿宋_GB2312" w:eastAsia="仿宋_GB2312"/>
          <w:sz w:val="24"/>
          <w:szCs w:val="24"/>
          <w:lang w:val="zh-CN"/>
        </w:rPr>
        <w:t>遇到特殊情况（如：封道、大雾、大雪等），应立即通知甲方，并按照甲方与客户协商达成一致的线路金兴运输。</w:t>
      </w:r>
    </w:p>
    <w:p>
      <w:pPr>
        <w:numPr>
          <w:ilvl w:val="0"/>
          <w:numId w:val="7"/>
        </w:numPr>
        <w:ind w:left="426"/>
        <w:rPr>
          <w:rFonts w:ascii="仿宋_GB2312" w:eastAsia="仿宋_GB2312"/>
          <w:sz w:val="24"/>
          <w:szCs w:val="24"/>
          <w:lang w:val="zh-CN"/>
        </w:rPr>
      </w:pPr>
      <w:r>
        <w:rPr>
          <w:rFonts w:hint="eastAsia" w:ascii="仿宋_GB2312" w:eastAsia="仿宋_GB2312"/>
          <w:sz w:val="24"/>
          <w:szCs w:val="24"/>
          <w:lang w:val="zh-CN"/>
        </w:rPr>
        <w:t>车辆在运输途中发生抛锚等故障时，承运商应负责安排现场维修，并及时通知甲方，如果不能及时修复的，应尽快安排其它车辆完成运输。</w:t>
      </w:r>
    </w:p>
    <w:p>
      <w:pPr>
        <w:numPr>
          <w:ilvl w:val="0"/>
          <w:numId w:val="7"/>
        </w:numPr>
        <w:ind w:left="426"/>
        <w:rPr>
          <w:rFonts w:ascii="仿宋_GB2312" w:eastAsia="仿宋_GB2312"/>
          <w:sz w:val="24"/>
          <w:szCs w:val="24"/>
          <w:lang w:val="zh-CN"/>
        </w:rPr>
      </w:pPr>
      <w:r>
        <w:rPr>
          <w:rFonts w:hint="eastAsia" w:ascii="仿宋_GB2312" w:eastAsia="仿宋_GB2312"/>
          <w:sz w:val="24"/>
          <w:szCs w:val="24"/>
          <w:lang w:val="zh-CN"/>
        </w:rPr>
        <w:t>短驳车辆如果需要进行维修，应提前通知甲方，并安排经甲方书面确认的合格车辆进行临时短驳运输。</w:t>
      </w:r>
    </w:p>
    <w:p>
      <w:pPr>
        <w:ind w:left="426"/>
        <w:rPr>
          <w:rFonts w:ascii="仿宋_GB2312" w:eastAsia="仿宋_GB2312"/>
          <w:b/>
          <w:bCs/>
          <w:sz w:val="24"/>
          <w:szCs w:val="24"/>
        </w:rPr>
      </w:pPr>
    </w:p>
    <w:p>
      <w:pPr>
        <w:ind w:left="426"/>
        <w:rPr>
          <w:rFonts w:ascii="仿宋_GB2312" w:eastAsia="仿宋_GB2312"/>
          <w:b/>
          <w:bCs/>
          <w:sz w:val="24"/>
          <w:szCs w:val="24"/>
        </w:rPr>
      </w:pPr>
    </w:p>
    <w:p>
      <w:pPr>
        <w:ind w:left="426"/>
        <w:rPr>
          <w:rFonts w:ascii="仿宋_GB2312" w:eastAsia="仿宋_GB2312"/>
          <w:b/>
          <w:bCs/>
          <w:sz w:val="24"/>
          <w:szCs w:val="24"/>
        </w:rPr>
      </w:pPr>
    </w:p>
    <w:p>
      <w:pPr>
        <w:numPr>
          <w:ilvl w:val="0"/>
          <w:numId w:val="1"/>
        </w:numPr>
        <w:tabs>
          <w:tab w:val="left" w:pos="0"/>
          <w:tab w:val="left" w:pos="1080"/>
          <w:tab w:val="clear" w:pos="1937"/>
        </w:tabs>
        <w:ind w:left="1080" w:hanging="1080"/>
        <w:rPr>
          <w:rFonts w:ascii="仿宋_GB2312" w:eastAsia="仿宋_GB2312"/>
          <w:b/>
          <w:bCs/>
          <w:sz w:val="24"/>
          <w:szCs w:val="24"/>
        </w:rPr>
      </w:pPr>
      <w:r>
        <w:rPr>
          <w:rFonts w:hint="eastAsia" w:ascii="仿宋_GB2312" w:eastAsia="仿宋_GB2312"/>
          <w:b/>
          <w:bCs/>
          <w:sz w:val="24"/>
          <w:szCs w:val="24"/>
        </w:rPr>
        <w:t>服务费用及结算</w:t>
      </w:r>
    </w:p>
    <w:p>
      <w:pPr>
        <w:rPr>
          <w:rFonts w:ascii="仿宋_GB2312" w:eastAsia="仿宋_GB2312"/>
          <w:sz w:val="24"/>
          <w:szCs w:val="24"/>
        </w:rPr>
      </w:pPr>
    </w:p>
    <w:p>
      <w:pPr>
        <w:numPr>
          <w:ilvl w:val="0"/>
          <w:numId w:val="8"/>
        </w:numPr>
        <w:rPr>
          <w:rFonts w:ascii="仿宋_GB2312" w:eastAsia="仿宋_GB2312"/>
          <w:b/>
          <w:sz w:val="24"/>
          <w:szCs w:val="24"/>
        </w:rPr>
      </w:pPr>
      <w:r>
        <w:rPr>
          <w:rFonts w:hint="eastAsia" w:ascii="仿宋_GB2312" w:eastAsia="仿宋_GB2312"/>
          <w:b/>
          <w:sz w:val="24"/>
          <w:szCs w:val="24"/>
        </w:rPr>
        <w:t>服务费用</w:t>
      </w:r>
    </w:p>
    <w:tbl>
      <w:tblPr>
        <w:tblStyle w:val="24"/>
        <w:tblW w:w="9464" w:type="dxa"/>
        <w:tblInd w:w="0" w:type="dxa"/>
        <w:tblLayout w:type="fixed"/>
        <w:tblCellMar>
          <w:top w:w="0" w:type="dxa"/>
          <w:left w:w="108" w:type="dxa"/>
          <w:bottom w:w="0" w:type="dxa"/>
          <w:right w:w="108" w:type="dxa"/>
        </w:tblCellMar>
      </w:tblPr>
      <w:tblGrid>
        <w:gridCol w:w="4219"/>
        <w:gridCol w:w="3260"/>
        <w:gridCol w:w="1985"/>
      </w:tblGrid>
      <w:tr>
        <w:tblPrEx>
          <w:tblLayout w:type="fixed"/>
          <w:tblCellMar>
            <w:top w:w="0" w:type="dxa"/>
            <w:left w:w="108" w:type="dxa"/>
            <w:bottom w:w="0" w:type="dxa"/>
            <w:right w:w="108" w:type="dxa"/>
          </w:tblCellMar>
        </w:tblPrEx>
        <w:trPr>
          <w:trHeight w:val="165" w:hRule="atLeast"/>
        </w:trPr>
        <w:tc>
          <w:tcPr>
            <w:tcW w:w="4219"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p>
        </w:tc>
        <w:tc>
          <w:tcPr>
            <w:tcW w:w="3260"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985"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65" w:hRule="atLeast"/>
        </w:trPr>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固定费用</w:t>
            </w:r>
          </w:p>
        </w:tc>
        <w:tc>
          <w:tcPr>
            <w:tcW w:w="326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rPr>
                <w:rFonts w:ascii="Arial" w:hAnsi="Arial" w:cs="Arial"/>
                <w:kern w:val="0"/>
                <w:szCs w:val="21"/>
              </w:rPr>
            </w:pPr>
            <w:r>
              <w:rPr>
                <w:rFonts w:ascii="Arial" w:hAnsi="Arial" w:cs="Arial"/>
                <w:kern w:val="0"/>
                <w:szCs w:val="21"/>
              </w:rPr>
              <w:t>(</w:t>
            </w:r>
            <w:r>
              <w:rPr>
                <w:rFonts w:hint="eastAsia" w:ascii="宋体" w:hAnsi="宋体" w:cs="Arial"/>
                <w:kern w:val="0"/>
                <w:sz w:val="22"/>
                <w:szCs w:val="22"/>
              </w:rPr>
              <w:t>厢式整车门到门，不包括装卸</w:t>
            </w:r>
            <w:r>
              <w:rPr>
                <w:rFonts w:ascii="Arial" w:hAnsi="Arial" w:cs="Arial"/>
                <w:kern w:val="0"/>
                <w:szCs w:val="21"/>
              </w:rPr>
              <w:t>)</w:t>
            </w:r>
          </w:p>
        </w:tc>
        <w:tc>
          <w:tcPr>
            <w:tcW w:w="1985" w:type="dxa"/>
            <w:tcBorders>
              <w:top w:val="single" w:color="auto" w:sz="8" w:space="0"/>
              <w:left w:val="nil"/>
              <w:bottom w:val="single" w:color="auto" w:sz="8" w:space="0"/>
              <w:right w:val="single" w:color="auto" w:sz="8"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变动费用</w:t>
            </w:r>
          </w:p>
          <w:p>
            <w:pPr>
              <w:widowControl/>
              <w:rPr>
                <w:rFonts w:ascii="宋体" w:hAnsi="宋体" w:cs="宋体"/>
                <w:kern w:val="0"/>
                <w:sz w:val="22"/>
                <w:szCs w:val="22"/>
              </w:rPr>
            </w:pPr>
            <w:r>
              <w:rPr>
                <w:rFonts w:hint="eastAsia" w:ascii="宋体" w:hAnsi="宋体" w:cs="宋体"/>
                <w:kern w:val="0"/>
                <w:sz w:val="22"/>
                <w:szCs w:val="22"/>
              </w:rPr>
              <w:t>（元</w:t>
            </w:r>
            <w:r>
              <w:rPr>
                <w:rFonts w:ascii="Arial" w:hAnsi="Arial" w:cs="Arial"/>
                <w:kern w:val="0"/>
                <w:szCs w:val="21"/>
              </w:rPr>
              <w:t>/</w:t>
            </w:r>
            <w:r>
              <w:rPr>
                <w:rFonts w:hint="eastAsia" w:ascii="宋体" w:hAnsi="宋体" w:cs="宋体"/>
                <w:kern w:val="0"/>
                <w:sz w:val="22"/>
                <w:szCs w:val="22"/>
              </w:rPr>
              <w:t>单趟</w:t>
            </w:r>
            <w:r>
              <w:rPr>
                <w:rFonts w:ascii="Arial" w:hAnsi="Arial" w:cs="Arial"/>
                <w:kern w:val="0"/>
                <w:szCs w:val="21"/>
              </w:rPr>
              <w:t>/</w:t>
            </w:r>
            <w:r>
              <w:rPr>
                <w:rFonts w:hint="eastAsia" w:ascii="宋体" w:hAnsi="宋体" w:cs="宋体"/>
                <w:kern w:val="0"/>
                <w:sz w:val="22"/>
                <w:szCs w:val="22"/>
              </w:rPr>
              <w:t>车）</w:t>
            </w:r>
          </w:p>
        </w:tc>
      </w:tr>
      <w:tr>
        <w:tblPrEx>
          <w:tblLayout w:type="fixed"/>
          <w:tblCellMar>
            <w:top w:w="0" w:type="dxa"/>
            <w:left w:w="108" w:type="dxa"/>
            <w:bottom w:w="0" w:type="dxa"/>
            <w:right w:w="108" w:type="dxa"/>
          </w:tblCellMar>
        </w:tblPrEx>
        <w:trPr>
          <w:trHeight w:val="465" w:hRule="atLeast"/>
        </w:trPr>
        <w:tc>
          <w:tcPr>
            <w:tcW w:w="4219"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jc w:val="left"/>
              <w:rPr>
                <w:rFonts w:ascii="Arial" w:hAnsi="Arial" w:cs="Arial"/>
                <w:kern w:val="0"/>
                <w:szCs w:val="21"/>
              </w:rPr>
            </w:pPr>
            <w:r>
              <w:rPr>
                <w:rFonts w:ascii="Arial" w:hAnsi="Arial" w:cs="Arial"/>
                <w:kern w:val="0"/>
                <w:szCs w:val="21"/>
              </w:rPr>
              <w:t>20</w:t>
            </w:r>
            <w:r>
              <w:rPr>
                <w:rFonts w:hint="eastAsia" w:ascii="宋体" w:hAnsi="宋体" w:cs="Arial"/>
                <w:kern w:val="0"/>
                <w:sz w:val="22"/>
                <w:szCs w:val="22"/>
              </w:rPr>
              <w:t>吨拖车固定使用费（元</w:t>
            </w:r>
            <w:r>
              <w:rPr>
                <w:rFonts w:ascii="Arial" w:hAnsi="Arial" w:cs="Arial"/>
                <w:kern w:val="0"/>
                <w:szCs w:val="21"/>
              </w:rPr>
              <w:t>/</w:t>
            </w:r>
            <w:r>
              <w:rPr>
                <w:rFonts w:hint="eastAsia" w:ascii="宋体" w:hAnsi="宋体" w:cs="Arial"/>
                <w:kern w:val="0"/>
                <w:sz w:val="22"/>
                <w:szCs w:val="22"/>
              </w:rPr>
              <w:t>月</w:t>
            </w:r>
            <w:r>
              <w:rPr>
                <w:rFonts w:ascii="Arial" w:hAnsi="Arial" w:cs="Arial"/>
                <w:kern w:val="0"/>
                <w:szCs w:val="21"/>
              </w:rPr>
              <w:t>/</w:t>
            </w:r>
            <w:r>
              <w:rPr>
                <w:rFonts w:hint="eastAsia" w:ascii="宋体" w:hAnsi="宋体" w:cs="Arial"/>
                <w:kern w:val="0"/>
                <w:sz w:val="22"/>
                <w:szCs w:val="22"/>
              </w:rPr>
              <w:t>车）</w:t>
            </w:r>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cs="Arial"/>
                <w:kern w:val="0"/>
                <w:szCs w:val="21"/>
              </w:rPr>
            </w:pPr>
          </w:p>
        </w:tc>
        <w:tc>
          <w:tcPr>
            <w:tcW w:w="198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Arial" w:hAnsi="Arial" w:cs="Arial"/>
                <w:kern w:val="0"/>
                <w:szCs w:val="21"/>
              </w:rPr>
            </w:pPr>
          </w:p>
        </w:tc>
      </w:tr>
      <w:tr>
        <w:tblPrEx>
          <w:tblLayout w:type="fixed"/>
          <w:tblCellMar>
            <w:top w:w="0" w:type="dxa"/>
            <w:left w:w="108" w:type="dxa"/>
            <w:bottom w:w="0" w:type="dxa"/>
            <w:right w:w="108" w:type="dxa"/>
          </w:tblCellMar>
        </w:tblPrEx>
        <w:trPr>
          <w:trHeight w:val="465" w:hRule="atLeast"/>
        </w:trPr>
        <w:tc>
          <w:tcPr>
            <w:tcW w:w="421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厢式挂车固定使用费</w:t>
            </w:r>
            <w:r>
              <w:rPr>
                <w:rFonts w:ascii="Arial" w:hAnsi="Arial" w:cs="Arial"/>
                <w:kern w:val="0"/>
                <w:szCs w:val="21"/>
              </w:rPr>
              <w:t>(</w:t>
            </w:r>
            <w:r>
              <w:rPr>
                <w:rFonts w:hint="eastAsia" w:ascii="Arial" w:hAnsi="Arial" w:cs="Arial"/>
                <w:kern w:val="0"/>
                <w:szCs w:val="21"/>
              </w:rPr>
              <w:t>内径</w:t>
            </w:r>
            <w:r>
              <w:rPr>
                <w:rFonts w:ascii="Arial" w:hAnsi="Arial" w:cs="Arial"/>
                <w:kern w:val="0"/>
                <w:szCs w:val="21"/>
              </w:rPr>
              <w:t>12*2.4</w:t>
            </w:r>
            <w:r>
              <w:rPr>
                <w:rFonts w:hint="eastAsia" w:ascii="Arial" w:hAnsi="Arial" w:cs="Arial"/>
                <w:kern w:val="0"/>
                <w:szCs w:val="21"/>
              </w:rPr>
              <w:t>5</w:t>
            </w:r>
            <w:r>
              <w:rPr>
                <w:rFonts w:ascii="Arial" w:hAnsi="Arial" w:cs="Arial"/>
                <w:kern w:val="0"/>
                <w:szCs w:val="21"/>
              </w:rPr>
              <w:t>*2.4</w:t>
            </w:r>
            <w:r>
              <w:rPr>
                <w:rFonts w:hint="eastAsia" w:ascii="Arial" w:hAnsi="Arial" w:cs="Arial"/>
                <w:kern w:val="0"/>
                <w:szCs w:val="21"/>
              </w:rPr>
              <w:t>5</w:t>
            </w:r>
            <w:r>
              <w:rPr>
                <w:rFonts w:ascii="Arial" w:hAnsi="Arial" w:cs="Arial"/>
                <w:kern w:val="0"/>
                <w:szCs w:val="21"/>
              </w:rPr>
              <w:t xml:space="preserve">) </w:t>
            </w:r>
            <w:r>
              <w:rPr>
                <w:rFonts w:hint="eastAsia" w:ascii="宋体" w:hAnsi="宋体" w:cs="宋体"/>
                <w:kern w:val="0"/>
                <w:sz w:val="22"/>
                <w:szCs w:val="22"/>
              </w:rPr>
              <w:t>（元</w:t>
            </w:r>
            <w:r>
              <w:rPr>
                <w:rFonts w:ascii="Arial" w:hAnsi="Arial" w:cs="Arial"/>
                <w:kern w:val="0"/>
                <w:szCs w:val="21"/>
              </w:rPr>
              <w:t>/</w:t>
            </w:r>
            <w:r>
              <w:rPr>
                <w:rFonts w:hint="eastAsia" w:ascii="宋体" w:hAnsi="宋体" w:cs="宋体"/>
                <w:kern w:val="0"/>
                <w:sz w:val="22"/>
                <w:szCs w:val="22"/>
              </w:rPr>
              <w:t>月</w:t>
            </w:r>
            <w:r>
              <w:rPr>
                <w:rFonts w:ascii="Arial" w:hAnsi="Arial" w:cs="Arial"/>
                <w:kern w:val="0"/>
                <w:szCs w:val="21"/>
              </w:rPr>
              <w:t>/</w:t>
            </w:r>
            <w:r>
              <w:rPr>
                <w:rFonts w:hint="eastAsia" w:ascii="宋体" w:hAnsi="宋体" w:cs="宋体"/>
                <w:kern w:val="0"/>
                <w:sz w:val="22"/>
                <w:szCs w:val="22"/>
              </w:rPr>
              <w:t>车）</w:t>
            </w:r>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cs="Arial"/>
                <w:kern w:val="0"/>
                <w:szCs w:val="21"/>
              </w:rPr>
            </w:pPr>
          </w:p>
        </w:tc>
        <w:tc>
          <w:tcPr>
            <w:tcW w:w="1985" w:type="dxa"/>
            <w:vMerge w:val="continue"/>
            <w:tcBorders>
              <w:top w:val="nil"/>
              <w:left w:val="single" w:color="auto" w:sz="8" w:space="0"/>
              <w:bottom w:val="single" w:color="000000" w:sz="8" w:space="0"/>
              <w:right w:val="single" w:color="auto" w:sz="8" w:space="0"/>
            </w:tcBorders>
            <w:vAlign w:val="center"/>
          </w:tcPr>
          <w:p>
            <w:pPr>
              <w:widowControl/>
              <w:jc w:val="left"/>
              <w:rPr>
                <w:rFonts w:ascii="Arial" w:hAnsi="Arial" w:cs="Arial"/>
                <w:kern w:val="0"/>
                <w:szCs w:val="21"/>
              </w:rPr>
            </w:pPr>
          </w:p>
        </w:tc>
      </w:tr>
      <w:tr>
        <w:tblPrEx>
          <w:tblLayout w:type="fixed"/>
          <w:tblCellMar>
            <w:top w:w="0" w:type="dxa"/>
            <w:left w:w="108" w:type="dxa"/>
            <w:bottom w:w="0" w:type="dxa"/>
            <w:right w:w="108" w:type="dxa"/>
          </w:tblCellMar>
        </w:tblPrEx>
        <w:trPr>
          <w:trHeight w:val="465" w:hRule="atLeast"/>
        </w:trPr>
        <w:tc>
          <w:tcPr>
            <w:tcW w:w="4219"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人员费用（元</w:t>
            </w:r>
            <w:r>
              <w:rPr>
                <w:rFonts w:ascii="Arial" w:hAnsi="Arial" w:cs="Arial"/>
                <w:kern w:val="0"/>
                <w:szCs w:val="21"/>
              </w:rPr>
              <w:t>/</w:t>
            </w:r>
            <w:r>
              <w:rPr>
                <w:rFonts w:hint="eastAsia" w:ascii="宋体" w:hAnsi="宋体" w:cs="宋体"/>
                <w:kern w:val="0"/>
                <w:sz w:val="22"/>
                <w:szCs w:val="22"/>
              </w:rPr>
              <w:t>月</w:t>
            </w:r>
            <w:r>
              <w:rPr>
                <w:rFonts w:ascii="Arial" w:hAnsi="Arial" w:cs="Arial"/>
                <w:kern w:val="0"/>
                <w:szCs w:val="21"/>
              </w:rPr>
              <w:t>/</w:t>
            </w:r>
            <w:r>
              <w:rPr>
                <w:rFonts w:hint="eastAsia" w:ascii="宋体" w:hAnsi="宋体" w:cs="宋体"/>
                <w:kern w:val="0"/>
                <w:sz w:val="22"/>
                <w:szCs w:val="22"/>
              </w:rPr>
              <w:t>人）</w:t>
            </w:r>
          </w:p>
        </w:tc>
        <w:tc>
          <w:tcPr>
            <w:tcW w:w="3260"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cs="Arial"/>
                <w:kern w:val="0"/>
                <w:szCs w:val="21"/>
              </w:rPr>
            </w:pPr>
          </w:p>
        </w:tc>
        <w:tc>
          <w:tcPr>
            <w:tcW w:w="1985" w:type="dxa"/>
            <w:vMerge w:val="continue"/>
            <w:tcBorders>
              <w:top w:val="nil"/>
              <w:left w:val="single" w:color="auto" w:sz="8" w:space="0"/>
              <w:bottom w:val="single" w:color="000000" w:sz="8" w:space="0"/>
              <w:right w:val="single" w:color="auto" w:sz="8" w:space="0"/>
            </w:tcBorders>
            <w:vAlign w:val="center"/>
          </w:tcPr>
          <w:p>
            <w:pPr>
              <w:widowControl/>
              <w:jc w:val="left"/>
              <w:rPr>
                <w:rFonts w:ascii="Arial" w:hAnsi="Arial" w:cs="Arial"/>
                <w:kern w:val="0"/>
                <w:szCs w:val="21"/>
              </w:rPr>
            </w:pPr>
          </w:p>
        </w:tc>
      </w:tr>
      <w:tr>
        <w:tblPrEx>
          <w:tblLayout w:type="fixed"/>
          <w:tblCellMar>
            <w:top w:w="0" w:type="dxa"/>
            <w:left w:w="108" w:type="dxa"/>
            <w:bottom w:w="0" w:type="dxa"/>
            <w:right w:w="108" w:type="dxa"/>
          </w:tblCellMar>
        </w:tblPrEx>
        <w:trPr>
          <w:trHeight w:val="270" w:hRule="atLeast"/>
        </w:trPr>
        <w:tc>
          <w:tcPr>
            <w:tcW w:w="4219" w:type="dxa"/>
            <w:tcBorders>
              <w:top w:val="nil"/>
              <w:left w:val="nil"/>
              <w:bottom w:val="nil"/>
              <w:right w:val="nil"/>
            </w:tcBorders>
            <w:shd w:val="clear" w:color="auto" w:fill="auto"/>
            <w:vAlign w:val="center"/>
          </w:tcPr>
          <w:p>
            <w:pPr>
              <w:widowControl/>
              <w:jc w:val="left"/>
              <w:rPr>
                <w:rFonts w:ascii="Arial" w:hAnsi="Arial" w:cs="Arial"/>
                <w:kern w:val="0"/>
                <w:szCs w:val="21"/>
              </w:rPr>
            </w:pPr>
          </w:p>
          <w:p>
            <w:pPr>
              <w:widowControl/>
              <w:jc w:val="left"/>
              <w:rPr>
                <w:rFonts w:ascii="Arial" w:hAnsi="Arial" w:cs="Arial"/>
                <w:b/>
                <w:kern w:val="0"/>
                <w:szCs w:val="21"/>
              </w:rPr>
            </w:pPr>
            <w:r>
              <w:rPr>
                <w:rFonts w:hint="eastAsia" w:ascii="Arial" w:hAnsi="Arial" w:cs="Arial"/>
                <w:b/>
                <w:kern w:val="0"/>
                <w:szCs w:val="21"/>
              </w:rPr>
              <w:t>备注：</w:t>
            </w:r>
          </w:p>
        </w:tc>
        <w:tc>
          <w:tcPr>
            <w:tcW w:w="3260"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c>
          <w:tcPr>
            <w:tcW w:w="1985" w:type="dxa"/>
            <w:tcBorders>
              <w:top w:val="nil"/>
              <w:left w:val="nil"/>
              <w:bottom w:val="nil"/>
              <w:right w:val="nil"/>
            </w:tcBorders>
            <w:shd w:val="clear" w:color="auto" w:fill="auto"/>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270" w:hRule="atLeast"/>
        </w:trPr>
        <w:tc>
          <w:tcPr>
            <w:tcW w:w="9464" w:type="dxa"/>
            <w:gridSpan w:val="3"/>
            <w:tcBorders>
              <w:top w:val="nil"/>
              <w:left w:val="nil"/>
              <w:bottom w:val="nil"/>
            </w:tcBorders>
            <w:shd w:val="clear" w:color="auto" w:fill="auto"/>
            <w:vAlign w:val="center"/>
          </w:tcPr>
          <w:p>
            <w:pPr>
              <w:rPr>
                <w:rFonts w:ascii="仿宋_GB2312" w:eastAsia="仿宋_GB2312"/>
                <w:sz w:val="24"/>
                <w:szCs w:val="24"/>
              </w:rPr>
            </w:pPr>
            <w:r>
              <w:rPr>
                <w:rFonts w:hint="eastAsia" w:ascii="仿宋_GB2312" w:eastAsia="仿宋_GB2312"/>
                <w:sz w:val="24"/>
                <w:szCs w:val="24"/>
              </w:rPr>
              <w:t>上述报价应为非含税报价（税点根据国家现行执行的增值税率，在合同有效期限内，若因国家税收政策调整而引起的增值税税率变化的，应按照国家税收政策调整。）</w:t>
            </w:r>
          </w:p>
        </w:tc>
      </w:tr>
      <w:tr>
        <w:tblPrEx>
          <w:tblLayout w:type="fixed"/>
          <w:tblCellMar>
            <w:top w:w="0" w:type="dxa"/>
            <w:left w:w="108" w:type="dxa"/>
            <w:bottom w:w="0" w:type="dxa"/>
            <w:right w:w="108" w:type="dxa"/>
          </w:tblCellMar>
        </w:tblPrEx>
        <w:trPr>
          <w:trHeight w:val="270" w:hRule="atLeast"/>
        </w:trPr>
        <w:tc>
          <w:tcPr>
            <w:tcW w:w="9464" w:type="dxa"/>
            <w:gridSpan w:val="3"/>
            <w:tcBorders>
              <w:top w:val="nil"/>
              <w:left w:val="nil"/>
              <w:bottom w:val="nil"/>
            </w:tcBorders>
            <w:shd w:val="clear" w:color="auto" w:fill="auto"/>
            <w:vAlign w:val="center"/>
          </w:tcPr>
          <w:p>
            <w:pPr>
              <w:rPr>
                <w:rFonts w:ascii="仿宋_GB2312" w:eastAsia="仿宋_GB2312"/>
                <w:sz w:val="24"/>
                <w:szCs w:val="24"/>
              </w:rPr>
            </w:pPr>
            <w:r>
              <w:rPr>
                <w:rFonts w:hint="eastAsia" w:ascii="仿宋_GB2312" w:eastAsia="仿宋_GB2312"/>
                <w:sz w:val="24"/>
                <w:szCs w:val="24"/>
              </w:rPr>
              <w:t>上述报价应包括但不限于：提货、单证随行、返回、过桥过路费等费用</w:t>
            </w:r>
          </w:p>
        </w:tc>
      </w:tr>
    </w:tbl>
    <w:p>
      <w:pPr>
        <w:rPr>
          <w:rFonts w:ascii="仿宋_GB2312" w:eastAsia="仿宋_GB2312"/>
          <w:b/>
          <w:sz w:val="24"/>
          <w:szCs w:val="24"/>
        </w:rPr>
      </w:pPr>
    </w:p>
    <w:p>
      <w:pPr>
        <w:rPr>
          <w:rFonts w:ascii="仿宋_GB2312" w:eastAsia="仿宋_GB2312"/>
          <w:sz w:val="24"/>
          <w:lang w:val="zh-CN"/>
        </w:rPr>
      </w:pPr>
      <w:r>
        <w:rPr>
          <w:rFonts w:hint="eastAsia" w:ascii="仿宋_GB2312" w:eastAsia="仿宋_GB2312"/>
          <w:sz w:val="24"/>
          <w:szCs w:val="24"/>
        </w:rPr>
        <w:t>甲方按上表所列的服务项目及服务费用与乙方进行结算并支付服务费用。</w:t>
      </w:r>
    </w:p>
    <w:p>
      <w:pPr>
        <w:rPr>
          <w:rFonts w:ascii="仿宋_GB2312" w:eastAsia="仿宋_GB2312"/>
          <w:sz w:val="24"/>
          <w:szCs w:val="24"/>
          <w:lang w:val="zh-CN"/>
        </w:rPr>
      </w:pPr>
    </w:p>
    <w:p>
      <w:pPr>
        <w:numPr>
          <w:ilvl w:val="0"/>
          <w:numId w:val="8"/>
        </w:numPr>
        <w:rPr>
          <w:rFonts w:ascii="仿宋_GB2312" w:eastAsia="仿宋_GB2312"/>
          <w:b/>
          <w:sz w:val="24"/>
          <w:szCs w:val="24"/>
        </w:rPr>
      </w:pPr>
      <w:r>
        <w:rPr>
          <w:rFonts w:hint="eastAsia" w:ascii="仿宋_GB2312" w:eastAsia="仿宋_GB2312"/>
          <w:b/>
          <w:sz w:val="24"/>
          <w:szCs w:val="24"/>
        </w:rPr>
        <w:t>服务费用变更</w:t>
      </w:r>
    </w:p>
    <w:p>
      <w:pPr>
        <w:ind w:left="480"/>
        <w:rPr>
          <w:rFonts w:ascii="仿宋_GB2312" w:eastAsia="仿宋_GB2312"/>
          <w:b/>
          <w:sz w:val="24"/>
          <w:szCs w:val="24"/>
        </w:rPr>
      </w:pPr>
    </w:p>
    <w:p>
      <w:pPr>
        <w:rPr>
          <w:rFonts w:ascii="仿宋_GB2312" w:eastAsia="仿宋_GB2312"/>
          <w:sz w:val="24"/>
          <w:szCs w:val="24"/>
        </w:rPr>
      </w:pPr>
      <w:r>
        <w:rPr>
          <w:rFonts w:hint="eastAsia" w:ascii="仿宋_GB2312" w:eastAsia="仿宋_GB2312"/>
          <w:sz w:val="24"/>
          <w:szCs w:val="24"/>
        </w:rPr>
        <w:t>对服务费用及费率的任何变更必须根据本合同的修订程序进行处理。乙方承认并同意，未经甲方事先书面同意，乙方履行本合同所定义的服务以外的任何服务发生的费用将由乙方自行承担，且乙方将无权在本合同项下获得任何补偿或服务费用的调整。</w:t>
      </w:r>
    </w:p>
    <w:p>
      <w:pPr>
        <w:rPr>
          <w:rFonts w:ascii="仿宋_GB2312" w:eastAsia="仿宋_GB2312"/>
          <w:sz w:val="24"/>
          <w:szCs w:val="24"/>
        </w:rPr>
      </w:pPr>
    </w:p>
    <w:p>
      <w:pPr>
        <w:numPr>
          <w:ilvl w:val="0"/>
          <w:numId w:val="8"/>
        </w:numPr>
        <w:rPr>
          <w:rFonts w:ascii="仿宋_GB2312" w:eastAsia="仿宋_GB2312"/>
          <w:b/>
          <w:sz w:val="24"/>
          <w:szCs w:val="24"/>
        </w:rPr>
      </w:pPr>
      <w:r>
        <w:rPr>
          <w:rFonts w:hint="eastAsia" w:ascii="仿宋_GB2312" w:eastAsia="仿宋_GB2312"/>
          <w:b/>
          <w:sz w:val="24"/>
          <w:szCs w:val="24"/>
        </w:rPr>
        <w:t>服务费用结算与支付</w:t>
      </w:r>
    </w:p>
    <w:p>
      <w:pPr>
        <w:ind w:left="480"/>
        <w:rPr>
          <w:rFonts w:ascii="仿宋_GB2312" w:eastAsia="仿宋_GB2312"/>
          <w:b/>
          <w:sz w:val="24"/>
          <w:szCs w:val="24"/>
        </w:rPr>
      </w:pPr>
    </w:p>
    <w:p>
      <w:pPr>
        <w:rPr>
          <w:rFonts w:ascii="仿宋_GB2312" w:eastAsia="仿宋_GB2312"/>
          <w:sz w:val="24"/>
        </w:rPr>
      </w:pPr>
      <w:r>
        <w:rPr>
          <w:rFonts w:hint="eastAsia" w:ascii="仿宋_GB2312" w:eastAsia="仿宋_GB2312"/>
          <w:sz w:val="24"/>
        </w:rPr>
        <w:t>双方应按月结算月度服务费用。乙方负责在每个月第七（10）个工作日之前提供上月的服务费用清单（仅针对上月已完成服务的那部分物流订单）。甲方应于收到服务清单和服务费用清单后的十（10）个工作日内对其实际应支付的服务费用进行确认。一旦甲方确认该等实际应付费用，乙方应立即向甲方开具由甲方确认金额的发票、</w:t>
      </w:r>
      <w:r>
        <w:rPr>
          <w:rStyle w:val="20"/>
          <w:rFonts w:hint="eastAsia" w:ascii="仿宋_GB2312" w:eastAsia="仿宋_GB2312"/>
          <w:b w:val="0"/>
          <w:sz w:val="24"/>
        </w:rPr>
        <w:t>并提供其他甲方要求的支持性文件</w:t>
      </w:r>
      <w:r>
        <w:rPr>
          <w:rFonts w:hint="eastAsia" w:ascii="仿宋_GB2312" w:eastAsia="仿宋_GB2312"/>
          <w:sz w:val="24"/>
        </w:rPr>
        <w:t>。</w:t>
      </w:r>
    </w:p>
    <w:p>
      <w:pPr>
        <w:rPr>
          <w:rFonts w:ascii="仿宋_GB2312" w:eastAsia="仿宋_GB2312"/>
          <w:sz w:val="24"/>
          <w:szCs w:val="24"/>
        </w:rPr>
      </w:pPr>
      <w:r>
        <w:rPr>
          <w:rFonts w:hint="eastAsia" w:ascii="仿宋_GB2312" w:eastAsia="仿宋_GB2312"/>
          <w:sz w:val="24"/>
          <w:szCs w:val="24"/>
        </w:rPr>
        <w:t>甲方将在收到发票以及其要求的其他支持性文件后的五（5）个工作日内进行审阅并告知乙方是否需要补充任何文件。乙方应在甲方规定的时间内提供甲方所需的任何补充文件。甲方在收到乙方发票以及相关支持性文件后，将在收到甲方的委托方</w:t>
      </w:r>
      <w:r>
        <w:rPr>
          <w:rFonts w:ascii="仿宋_GB2312" w:eastAsia="仿宋_GB2312"/>
          <w:sz w:val="24"/>
          <w:szCs w:val="24"/>
        </w:rPr>
        <w:t>支付的运输服务费用之后</w:t>
      </w:r>
      <w:r>
        <w:rPr>
          <w:rFonts w:hint="eastAsia" w:ascii="仿宋_GB2312" w:eastAsia="仿宋_GB2312"/>
          <w:sz w:val="24"/>
          <w:szCs w:val="24"/>
        </w:rPr>
        <w:t>的五（10）个工作日内向乙方付款。如乙方收款信息发生改变，需提前以书面的形式告知甲方。因任何乙方未及时通知而造成的甲方付款延误，甲方不承担任何责任。</w:t>
      </w:r>
    </w:p>
    <w:p>
      <w:pPr>
        <w:rPr>
          <w:rFonts w:ascii="仿宋_GB2312" w:eastAsia="仿宋_GB2312"/>
          <w:sz w:val="24"/>
        </w:rPr>
      </w:pPr>
    </w:p>
    <w:p>
      <w:pPr>
        <w:numPr>
          <w:ilvl w:val="0"/>
          <w:numId w:val="1"/>
        </w:numPr>
        <w:tabs>
          <w:tab w:val="left" w:pos="0"/>
          <w:tab w:val="left" w:pos="1080"/>
          <w:tab w:val="clear" w:pos="1937"/>
        </w:tabs>
        <w:ind w:left="1080" w:hanging="1080"/>
        <w:rPr>
          <w:rFonts w:ascii="仿宋_GB2312" w:eastAsia="仿宋_GB2312"/>
          <w:b/>
          <w:sz w:val="24"/>
          <w:szCs w:val="24"/>
        </w:rPr>
      </w:pPr>
      <w:r>
        <w:rPr>
          <w:rFonts w:hint="eastAsia" w:ascii="仿宋_GB2312" w:eastAsia="仿宋_GB2312"/>
          <w:b/>
          <w:sz w:val="24"/>
          <w:szCs w:val="24"/>
        </w:rPr>
        <w:t>关键绩效指标考核</w:t>
      </w:r>
    </w:p>
    <w:p>
      <w:pPr>
        <w:rPr>
          <w:rFonts w:ascii="仿宋_GB2312" w:eastAsia="仿宋_GB2312"/>
          <w:sz w:val="24"/>
          <w:szCs w:val="24"/>
        </w:rPr>
      </w:pPr>
    </w:p>
    <w:p>
      <w:pPr>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rPr>
        <w:tab/>
      </w:r>
      <w:r>
        <w:rPr>
          <w:rFonts w:hint="eastAsia" w:ascii="仿宋_GB2312" w:eastAsia="仿宋_GB2312"/>
          <w:sz w:val="24"/>
          <w:szCs w:val="24"/>
        </w:rPr>
        <w:t>乙方应理解关键绩效指标（如下称：KPI）考核原则， 并以完成双方商定的KPI目标为基本要求。</w:t>
      </w:r>
    </w:p>
    <w:p>
      <w:pPr>
        <w:rPr>
          <w:rFonts w:ascii="仿宋_GB2312" w:eastAsia="仿宋_GB2312"/>
          <w:sz w:val="24"/>
          <w:szCs w:val="24"/>
        </w:rPr>
      </w:pPr>
      <w:r>
        <w:rPr>
          <w:rFonts w:hint="eastAsia" w:ascii="仿宋_GB2312" w:eastAsia="仿宋_GB2312"/>
          <w:sz w:val="24"/>
          <w:szCs w:val="24"/>
        </w:rPr>
        <w:t>2.</w:t>
      </w:r>
      <w:r>
        <w:rPr>
          <w:rFonts w:hint="eastAsia" w:ascii="仿宋_GB2312" w:eastAsia="仿宋_GB2312"/>
          <w:sz w:val="24"/>
          <w:szCs w:val="24"/>
        </w:rPr>
        <w:tab/>
      </w:r>
      <w:r>
        <w:rPr>
          <w:rFonts w:hint="eastAsia" w:ascii="仿宋_GB2312" w:eastAsia="仿宋_GB2312"/>
          <w:sz w:val="24"/>
          <w:szCs w:val="24"/>
        </w:rPr>
        <w:t>每个月乙方应按时提供KPI报告，如果乙方有不达标的情况，则应进行相关调查并提供有效的整改计划并按时完成整改。</w:t>
      </w:r>
    </w:p>
    <w:p>
      <w:pPr>
        <w:rPr>
          <w:rFonts w:ascii="仿宋_GB2312" w:eastAsia="仿宋_GB2312"/>
          <w:sz w:val="24"/>
          <w:szCs w:val="24"/>
        </w:rPr>
      </w:pPr>
      <w:r>
        <w:rPr>
          <w:rFonts w:hint="eastAsia" w:ascii="仿宋_GB2312" w:eastAsia="仿宋_GB2312"/>
          <w:sz w:val="24"/>
          <w:szCs w:val="24"/>
        </w:rPr>
        <w:t>3.</w:t>
      </w:r>
      <w:r>
        <w:rPr>
          <w:rFonts w:hint="eastAsia" w:ascii="仿宋_GB2312" w:eastAsia="仿宋_GB2312"/>
          <w:sz w:val="24"/>
          <w:szCs w:val="24"/>
        </w:rPr>
        <w:tab/>
      </w:r>
      <w:r>
        <w:rPr>
          <w:rFonts w:hint="eastAsia" w:ascii="仿宋_GB2312" w:eastAsia="仿宋_GB2312"/>
          <w:sz w:val="24"/>
          <w:szCs w:val="24"/>
        </w:rPr>
        <w:t>如果乙方在过去的6个月中有连续3个月持续无法达标，则甲方将保留对其承运范围进行调整的权利。</w:t>
      </w:r>
    </w:p>
    <w:p>
      <w:pPr>
        <w:rPr>
          <w:rFonts w:ascii="仿宋_GB2312" w:eastAsia="仿宋_GB2312"/>
          <w:sz w:val="24"/>
          <w:szCs w:val="24"/>
        </w:rPr>
      </w:pPr>
      <w:r>
        <w:rPr>
          <w:rFonts w:hint="eastAsia" w:ascii="仿宋_GB2312" w:eastAsia="仿宋_GB2312"/>
          <w:sz w:val="24"/>
          <w:szCs w:val="24"/>
        </w:rPr>
        <w:t>4.</w:t>
      </w:r>
      <w:r>
        <w:rPr>
          <w:rFonts w:hint="eastAsia" w:ascii="仿宋_GB2312" w:eastAsia="仿宋_GB2312"/>
          <w:sz w:val="24"/>
          <w:szCs w:val="24"/>
        </w:rPr>
        <w:tab/>
      </w:r>
      <w:r>
        <w:rPr>
          <w:rFonts w:hint="eastAsia" w:ascii="仿宋_GB2312" w:eastAsia="仿宋_GB2312"/>
          <w:sz w:val="24"/>
          <w:szCs w:val="24"/>
        </w:rPr>
        <w:t>KPI将每月进行双方回顾，并友好商定相关调整项（如有）。</w:t>
      </w:r>
    </w:p>
    <w:p>
      <w:pPr>
        <w:rPr>
          <w:rFonts w:ascii="仿宋_GB2312" w:eastAsia="仿宋_GB2312"/>
          <w:sz w:val="24"/>
          <w:szCs w:val="24"/>
        </w:rPr>
      </w:pPr>
      <w:r>
        <w:rPr>
          <w:rFonts w:hint="eastAsia" w:ascii="仿宋_GB2312" w:eastAsia="仿宋_GB2312"/>
          <w:sz w:val="24"/>
          <w:szCs w:val="24"/>
        </w:rPr>
        <w:t>5.</w:t>
      </w:r>
      <w:r>
        <w:rPr>
          <w:rFonts w:hint="eastAsia" w:ascii="仿宋_GB2312" w:eastAsia="仿宋_GB2312"/>
          <w:sz w:val="24"/>
          <w:szCs w:val="24"/>
        </w:rPr>
        <w:tab/>
      </w:r>
      <w:r>
        <w:rPr>
          <w:rFonts w:hint="eastAsia" w:ascii="仿宋_GB2312" w:eastAsia="仿宋_GB2312"/>
          <w:sz w:val="24"/>
          <w:szCs w:val="24"/>
        </w:rPr>
        <w:t>具体考核标准见附后：</w:t>
      </w:r>
      <w:r>
        <w:rPr>
          <w:rFonts w:hint="eastAsia" w:ascii="仿宋_GB2312" w:eastAsia="仿宋_GB2312"/>
          <w:b/>
          <w:sz w:val="24"/>
          <w:szCs w:val="24"/>
        </w:rPr>
        <w:t>“合同附件：KPI考核表”</w:t>
      </w:r>
    </w:p>
    <w:p>
      <w:pPr>
        <w:rPr>
          <w:rFonts w:ascii="仿宋_GB2312" w:eastAsia="仿宋_GB2312"/>
          <w:sz w:val="24"/>
          <w:szCs w:val="24"/>
        </w:rPr>
      </w:pPr>
    </w:p>
    <w:p>
      <w:pPr>
        <w:numPr>
          <w:ilvl w:val="0"/>
          <w:numId w:val="1"/>
        </w:numPr>
        <w:tabs>
          <w:tab w:val="left" w:pos="0"/>
          <w:tab w:val="left" w:pos="1080"/>
          <w:tab w:val="clear" w:pos="1937"/>
        </w:tabs>
        <w:ind w:left="1080" w:hanging="1080"/>
        <w:rPr>
          <w:rFonts w:ascii="仿宋_GB2312" w:eastAsia="仿宋_GB2312"/>
          <w:b/>
          <w:sz w:val="24"/>
          <w:szCs w:val="24"/>
        </w:rPr>
      </w:pPr>
      <w:r>
        <w:rPr>
          <w:rFonts w:hint="eastAsia" w:ascii="仿宋_GB2312" w:eastAsia="仿宋_GB2312"/>
          <w:b/>
          <w:sz w:val="24"/>
          <w:szCs w:val="24"/>
        </w:rPr>
        <w:t>责任</w:t>
      </w:r>
    </w:p>
    <w:p>
      <w:pPr>
        <w:tabs>
          <w:tab w:val="left" w:pos="720"/>
        </w:tabs>
        <w:spacing w:before="100" w:beforeAutospacing="1" w:after="100" w:afterAutospacing="1"/>
        <w:rPr>
          <w:rFonts w:ascii="仿宋_GB2312" w:eastAsia="仿宋_GB2312"/>
          <w:sz w:val="24"/>
          <w:szCs w:val="24"/>
        </w:rPr>
      </w:pPr>
      <w:r>
        <w:rPr>
          <w:rFonts w:hint="eastAsia" w:ascii="仿宋_GB2312" w:eastAsia="仿宋_GB2312"/>
          <w:sz w:val="24"/>
          <w:szCs w:val="24"/>
        </w:rPr>
        <w:t>一、对于因乙方对其在本合同项下的任何义务、承诺、陈述和/或保证的违反，而造成甲方的损失，乙方应当向甲方承担完全赔偿责任，但对于因甲方的故意或重大过失行为或因甲方对其在本合同项下的义务的重大违约而引起的甲方损失，乙方将不对甲方承担责任。</w:t>
      </w:r>
    </w:p>
    <w:p>
      <w:pPr>
        <w:pStyle w:val="16"/>
        <w:tabs>
          <w:tab w:val="left" w:pos="720"/>
        </w:tabs>
        <w:rPr>
          <w:rFonts w:hint="default" w:ascii="仿宋_GB2312" w:hAnsi="Times New Roman" w:eastAsia="仿宋_GB2312"/>
        </w:rPr>
      </w:pPr>
      <w:r>
        <w:rPr>
          <w:rFonts w:ascii="仿宋_GB2312" w:hAnsi="Times New Roman" w:eastAsia="仿宋_GB2312"/>
        </w:rPr>
        <w:t>二、对于前述甲方损失，甲方有权自行决定扣除应向乙方支付的服务费，并要求乙方按货物实际价值向甲方进行赔偿。如果该等赔偿不能弥补甲方所遭受的实际损失，则乙方应赔偿甲方实际遭受的损失。</w:t>
      </w:r>
    </w:p>
    <w:p>
      <w:pPr>
        <w:tabs>
          <w:tab w:val="left" w:pos="720"/>
        </w:tabs>
        <w:snapToGrid w:val="0"/>
        <w:ind w:right="42" w:rightChars="20"/>
        <w:rPr>
          <w:rFonts w:ascii="仿宋_GB2312" w:eastAsia="仿宋_GB2312"/>
          <w:sz w:val="24"/>
          <w:szCs w:val="24"/>
        </w:rPr>
      </w:pPr>
      <w:r>
        <w:rPr>
          <w:rFonts w:hint="eastAsia" w:ascii="仿宋_GB2312" w:eastAsia="仿宋_GB2312"/>
          <w:sz w:val="24"/>
          <w:szCs w:val="24"/>
        </w:rPr>
        <w:t>三、除非本合同另有规定，否则乙方不得以其与第三方物流服务提供者、保险公司以及任何其他第三方的其他协议的条款中有关乙方免责或责任限制的条款拒绝或者对抗甲方的索赔。</w:t>
      </w:r>
    </w:p>
    <w:p>
      <w:pPr>
        <w:rPr>
          <w:rFonts w:ascii="仿宋_GB2312" w:eastAsia="仿宋_GB2312"/>
          <w:b/>
          <w:sz w:val="24"/>
          <w:szCs w:val="24"/>
        </w:rPr>
      </w:pPr>
    </w:p>
    <w:p>
      <w:pPr>
        <w:numPr>
          <w:ilvl w:val="0"/>
          <w:numId w:val="1"/>
        </w:numPr>
        <w:tabs>
          <w:tab w:val="left" w:pos="0"/>
          <w:tab w:val="left" w:pos="1080"/>
          <w:tab w:val="clear" w:pos="1937"/>
        </w:tabs>
        <w:ind w:left="1080" w:hanging="1080"/>
        <w:rPr>
          <w:rFonts w:ascii="仿宋_GB2312" w:eastAsia="仿宋_GB2312"/>
          <w:b/>
          <w:sz w:val="24"/>
          <w:szCs w:val="24"/>
        </w:rPr>
      </w:pPr>
      <w:r>
        <w:rPr>
          <w:rFonts w:hint="eastAsia" w:ascii="仿宋_GB2312" w:eastAsia="仿宋_GB2312"/>
          <w:b/>
          <w:sz w:val="24"/>
          <w:szCs w:val="24"/>
        </w:rPr>
        <w:t>不可抗力</w:t>
      </w:r>
    </w:p>
    <w:p>
      <w:pPr>
        <w:rPr>
          <w:rFonts w:ascii="仿宋_GB2312" w:eastAsia="仿宋_GB2312"/>
          <w:b/>
          <w:sz w:val="24"/>
          <w:szCs w:val="24"/>
        </w:rPr>
      </w:pPr>
    </w:p>
    <w:p>
      <w:pPr>
        <w:tabs>
          <w:tab w:val="left" w:pos="540"/>
          <w:tab w:val="left" w:pos="2100"/>
        </w:tabs>
        <w:rPr>
          <w:rFonts w:ascii="仿宋_GB2312" w:eastAsia="仿宋_GB2312"/>
          <w:sz w:val="24"/>
          <w:szCs w:val="24"/>
        </w:rPr>
      </w:pPr>
      <w:r>
        <w:rPr>
          <w:rFonts w:hint="eastAsia" w:ascii="仿宋_GB2312" w:eastAsia="仿宋_GB2312"/>
          <w:sz w:val="24"/>
          <w:szCs w:val="24"/>
        </w:rPr>
        <w:t>一、“不可抗力”是指本合同双方不能合理控制、不可能预见亦无法避免的事件，该事件妨碍、影响或延误任何一方根据本合同履行其全部或部分义务。该事件包括但不限于政府行为或政府限令、地震、台风、洪水、或其它天灾、战争或任何其它类似事件。</w:t>
      </w:r>
    </w:p>
    <w:p>
      <w:pPr>
        <w:tabs>
          <w:tab w:val="left" w:pos="540"/>
          <w:tab w:val="left" w:pos="2760"/>
        </w:tabs>
        <w:rPr>
          <w:rFonts w:ascii="仿宋_GB2312" w:eastAsia="仿宋_GB2312"/>
          <w:sz w:val="24"/>
          <w:szCs w:val="24"/>
        </w:rPr>
      </w:pPr>
    </w:p>
    <w:p>
      <w:pPr>
        <w:tabs>
          <w:tab w:val="left" w:pos="540"/>
          <w:tab w:val="left" w:pos="2100"/>
        </w:tabs>
        <w:rPr>
          <w:rFonts w:ascii="仿宋_GB2312" w:eastAsia="仿宋_GB2312"/>
          <w:sz w:val="24"/>
          <w:szCs w:val="24"/>
        </w:rPr>
      </w:pPr>
      <w:r>
        <w:rPr>
          <w:rFonts w:hint="eastAsia" w:ascii="仿宋_GB2312" w:eastAsia="仿宋_GB2312"/>
          <w:sz w:val="24"/>
          <w:szCs w:val="24"/>
        </w:rPr>
        <w:t>二、如发生不可抗力事件，遭受该事件的一方应立即用可能的最快捷的方式通知另一方该事件的性质、发生日期、持续时间等有关的细节，以及该事件阻碍通知方履行基于本合同项下义务的程度，并应在五（5）日内，提供事故详情及合同不能履行、或者部分不能履行、或者需要延期履行理由的有效证明文件。乙方违反本条项下通知义务造成甲方损失的，乙方应就该损失赔偿甲方。</w:t>
      </w:r>
    </w:p>
    <w:p>
      <w:pPr>
        <w:tabs>
          <w:tab w:val="left" w:pos="540"/>
          <w:tab w:val="left" w:pos="2100"/>
        </w:tabs>
        <w:rPr>
          <w:rFonts w:ascii="仿宋_GB2312" w:eastAsia="仿宋_GB2312"/>
          <w:sz w:val="24"/>
          <w:szCs w:val="24"/>
        </w:rPr>
      </w:pPr>
      <w:r>
        <w:rPr>
          <w:rFonts w:hint="eastAsia" w:ascii="仿宋_GB2312" w:eastAsia="仿宋_GB2312"/>
          <w:sz w:val="24"/>
          <w:szCs w:val="24"/>
        </w:rPr>
        <w:t>三、遭受不可抗力事件的一方可暂时终止履行本合同项下的义务直至不可抗力事件的影响消除为止，并且无须为此而承担违约责任；如不可抗力事件持续长达三十（30）日，则任何一方可经书面通知对方后立即终止本合同以及合同下的各物流订单，且不会导致任何赔偿；但无论如何，双方应尽最大努力克服该事件，减轻其负面影响。</w:t>
      </w:r>
    </w:p>
    <w:p>
      <w:pPr>
        <w:rPr>
          <w:rFonts w:ascii="仿宋_GB2312" w:eastAsia="仿宋_GB2312"/>
          <w:sz w:val="24"/>
          <w:szCs w:val="24"/>
        </w:rPr>
      </w:pPr>
    </w:p>
    <w:p>
      <w:pPr>
        <w:numPr>
          <w:ilvl w:val="0"/>
          <w:numId w:val="1"/>
        </w:numPr>
        <w:tabs>
          <w:tab w:val="left" w:pos="0"/>
          <w:tab w:val="left" w:pos="1080"/>
          <w:tab w:val="clear" w:pos="1937"/>
        </w:tabs>
        <w:ind w:left="1080" w:hanging="1080"/>
        <w:rPr>
          <w:rFonts w:ascii="仿宋_GB2312" w:eastAsia="仿宋_GB2312"/>
          <w:b/>
          <w:sz w:val="24"/>
          <w:szCs w:val="24"/>
        </w:rPr>
      </w:pPr>
      <w:r>
        <w:rPr>
          <w:rFonts w:hint="eastAsia" w:ascii="仿宋_GB2312" w:eastAsia="仿宋_GB2312"/>
          <w:b/>
          <w:bCs/>
          <w:sz w:val="24"/>
          <w:szCs w:val="24"/>
        </w:rPr>
        <w:tab/>
      </w:r>
      <w:r>
        <w:rPr>
          <w:rFonts w:hint="eastAsia" w:ascii="仿宋_GB2312" w:eastAsia="仿宋_GB2312"/>
          <w:b/>
          <w:sz w:val="24"/>
          <w:szCs w:val="24"/>
        </w:rPr>
        <w:t>保密</w:t>
      </w:r>
    </w:p>
    <w:p>
      <w:pPr>
        <w:rPr>
          <w:rFonts w:ascii="仿宋_GB2312" w:eastAsia="仿宋_GB2312"/>
          <w:sz w:val="24"/>
          <w:szCs w:val="24"/>
        </w:rPr>
      </w:pPr>
    </w:p>
    <w:p>
      <w:pPr>
        <w:tabs>
          <w:tab w:val="left" w:pos="540"/>
          <w:tab w:val="left" w:pos="2100"/>
        </w:tabs>
        <w:rPr>
          <w:rFonts w:ascii="仿宋_GB2312" w:eastAsia="仿宋_GB2312"/>
          <w:sz w:val="24"/>
          <w:szCs w:val="24"/>
        </w:rPr>
      </w:pPr>
      <w:r>
        <w:rPr>
          <w:rFonts w:hint="eastAsia" w:ascii="仿宋_GB2312" w:eastAsia="仿宋_GB2312"/>
          <w:sz w:val="24"/>
          <w:szCs w:val="24"/>
        </w:rPr>
        <w:t>一、对于甲方以任何形式，不论通过口头、可视、书面方式或以任何有形或电子形式或媒介的方式提供给乙方的任何信息，包括但不限于货物信息、交易秘密、证照许可、知识产权、技术或工艺和商业计划，以及乙方在履行本合同以及就本合同与甲方进行磋商和讨论过程中获得的甲方的任何信息（以下简称“</w:t>
      </w:r>
      <w:r>
        <w:rPr>
          <w:rFonts w:hint="eastAsia" w:ascii="仿宋_GB2312" w:eastAsia="仿宋_GB2312"/>
          <w:b/>
          <w:sz w:val="24"/>
          <w:szCs w:val="24"/>
        </w:rPr>
        <w:t>保密信息</w:t>
      </w:r>
      <w:r>
        <w:rPr>
          <w:rFonts w:hint="eastAsia" w:ascii="仿宋_GB2312" w:eastAsia="仿宋_GB2312"/>
          <w:sz w:val="24"/>
          <w:szCs w:val="24"/>
        </w:rPr>
        <w:t>”），乙方至少应以与对待自己的同样重要的保密信息一样谨慎的态度来保持保密信息的机密性。未经甲方的事先书面同意，乙方不得将保密信息的任何部分透露给任何第三方，但需要了解该保密信息以便履行服务的乙方雇员（以下简称“</w:t>
      </w:r>
      <w:r>
        <w:rPr>
          <w:rFonts w:hint="eastAsia" w:ascii="仿宋_GB2312" w:eastAsia="仿宋_GB2312"/>
          <w:b/>
          <w:sz w:val="24"/>
          <w:szCs w:val="24"/>
        </w:rPr>
        <w:t>授权接受者</w:t>
      </w:r>
      <w:r>
        <w:rPr>
          <w:rFonts w:hint="eastAsia" w:ascii="仿宋_GB2312" w:eastAsia="仿宋_GB2312"/>
          <w:sz w:val="24"/>
          <w:szCs w:val="24"/>
        </w:rPr>
        <w:t>”）除外。乙方及其授权接受者只能为本合同之目的并为了甲方的利益而使用该保密信息，对于需要接受保密信息的每位授权接受者，乙方保证应事先告知其保密信息的保密性，并且他们同意接受等同于适用于乙方的本条包含的条款和条件的约束。</w:t>
      </w:r>
    </w:p>
    <w:p>
      <w:pPr>
        <w:rPr>
          <w:rFonts w:ascii="仿宋_GB2312" w:eastAsia="仿宋_GB2312"/>
          <w:b/>
          <w:i/>
          <w:sz w:val="24"/>
          <w:szCs w:val="24"/>
        </w:rPr>
      </w:pPr>
    </w:p>
    <w:p>
      <w:pPr>
        <w:numPr>
          <w:ilvl w:val="0"/>
          <w:numId w:val="1"/>
        </w:numPr>
        <w:tabs>
          <w:tab w:val="left" w:pos="0"/>
          <w:tab w:val="left" w:pos="1080"/>
          <w:tab w:val="clear" w:pos="1937"/>
        </w:tabs>
        <w:ind w:left="1080" w:hanging="1080"/>
        <w:rPr>
          <w:rFonts w:ascii="仿宋_GB2312" w:eastAsia="仿宋_GB2312"/>
          <w:b/>
          <w:sz w:val="24"/>
          <w:szCs w:val="24"/>
        </w:rPr>
      </w:pPr>
      <w:r>
        <w:rPr>
          <w:rFonts w:hint="eastAsia" w:ascii="仿宋_GB2312" w:eastAsia="仿宋_GB2312"/>
          <w:b/>
          <w:sz w:val="24"/>
          <w:szCs w:val="24"/>
        </w:rPr>
        <w:t>生效、修改及终止</w:t>
      </w:r>
    </w:p>
    <w:p>
      <w:pPr>
        <w:ind w:firstLine="540" w:firstLineChars="224"/>
        <w:rPr>
          <w:rFonts w:ascii="仿宋_GB2312" w:eastAsia="仿宋_GB2312"/>
          <w:b/>
          <w:sz w:val="24"/>
          <w:szCs w:val="24"/>
        </w:rPr>
      </w:pPr>
    </w:p>
    <w:p>
      <w:pPr>
        <w:tabs>
          <w:tab w:val="left" w:pos="540"/>
          <w:tab w:val="left" w:pos="2100"/>
        </w:tabs>
        <w:rPr>
          <w:rFonts w:ascii="仿宋_GB2312" w:eastAsia="仿宋_GB2312"/>
          <w:b/>
          <w:sz w:val="24"/>
          <w:szCs w:val="24"/>
        </w:rPr>
      </w:pPr>
      <w:r>
        <w:rPr>
          <w:rFonts w:hint="eastAsia" w:ascii="仿宋_GB2312" w:eastAsia="仿宋_GB2312"/>
          <w:b/>
          <w:sz w:val="24"/>
          <w:szCs w:val="24"/>
        </w:rPr>
        <w:t>一、初始有效期</w:t>
      </w:r>
    </w:p>
    <w:p>
      <w:pPr>
        <w:tabs>
          <w:tab w:val="left" w:pos="540"/>
          <w:tab w:val="left" w:pos="2100"/>
        </w:tabs>
        <w:ind w:firstLine="540"/>
        <w:rPr>
          <w:rFonts w:ascii="仿宋_GB2312" w:eastAsia="仿宋_GB2312"/>
          <w:b/>
          <w:sz w:val="24"/>
          <w:szCs w:val="24"/>
        </w:rPr>
      </w:pPr>
    </w:p>
    <w:p>
      <w:pPr>
        <w:tabs>
          <w:tab w:val="left" w:pos="540"/>
          <w:tab w:val="left" w:pos="2100"/>
        </w:tabs>
        <w:rPr>
          <w:rFonts w:ascii="仿宋_GB2312" w:eastAsia="仿宋_GB2312"/>
          <w:sz w:val="24"/>
          <w:szCs w:val="24"/>
        </w:rPr>
      </w:pPr>
      <w:r>
        <w:rPr>
          <w:rFonts w:hint="eastAsia" w:ascii="仿宋_GB2312" w:eastAsia="仿宋_GB2312"/>
          <w:sz w:val="24"/>
          <w:szCs w:val="24"/>
        </w:rPr>
        <w:t>本合同自     年    月   日起生效，有效期至年月   日止。</w:t>
      </w:r>
    </w:p>
    <w:p>
      <w:pPr>
        <w:ind w:left="538" w:firstLine="302"/>
        <w:rPr>
          <w:rFonts w:ascii="仿宋_GB2312" w:eastAsia="仿宋_GB2312"/>
          <w:i/>
          <w:sz w:val="24"/>
          <w:szCs w:val="24"/>
          <w:u w:val="single"/>
        </w:rPr>
      </w:pPr>
    </w:p>
    <w:p>
      <w:pPr>
        <w:rPr>
          <w:rFonts w:ascii="仿宋_GB2312" w:eastAsia="仿宋_GB2312"/>
          <w:b/>
          <w:sz w:val="24"/>
          <w:szCs w:val="24"/>
        </w:rPr>
      </w:pPr>
      <w:r>
        <w:rPr>
          <w:rFonts w:hint="eastAsia" w:ascii="仿宋_GB2312" w:eastAsia="仿宋_GB2312"/>
          <w:b/>
          <w:sz w:val="24"/>
          <w:szCs w:val="24"/>
        </w:rPr>
        <w:t>二、顺延</w:t>
      </w:r>
    </w:p>
    <w:p>
      <w:pPr>
        <w:rPr>
          <w:rFonts w:ascii="仿宋_GB2312" w:eastAsia="仿宋_GB2312"/>
          <w:sz w:val="24"/>
          <w:szCs w:val="24"/>
        </w:rPr>
      </w:pPr>
    </w:p>
    <w:p>
      <w:pPr>
        <w:rPr>
          <w:rFonts w:ascii="仿宋_GB2312" w:eastAsia="仿宋_GB2312"/>
          <w:sz w:val="24"/>
          <w:szCs w:val="24"/>
        </w:rPr>
      </w:pPr>
      <w:r>
        <w:rPr>
          <w:rFonts w:hint="eastAsia" w:ascii="仿宋_GB2312" w:eastAsia="仿宋_GB2312"/>
          <w:sz w:val="24"/>
          <w:szCs w:val="24"/>
        </w:rPr>
        <w:t>甲方可以在本合同的有效期到期前提前至少三个月发出书面通知，把本合同的有效期再顺延一年。除乙方在接到通知后两个星期内以书面形式拒绝外，甲方的顺延要约应视作被乙方接受。</w:t>
      </w:r>
    </w:p>
    <w:p>
      <w:pPr>
        <w:rPr>
          <w:rFonts w:ascii="仿宋_GB2312" w:eastAsia="仿宋_GB2312"/>
          <w:sz w:val="24"/>
          <w:szCs w:val="24"/>
        </w:rPr>
      </w:pPr>
    </w:p>
    <w:p>
      <w:pPr>
        <w:rPr>
          <w:rFonts w:ascii="仿宋_GB2312" w:eastAsia="仿宋_GB2312"/>
          <w:b/>
          <w:sz w:val="24"/>
          <w:szCs w:val="24"/>
        </w:rPr>
      </w:pPr>
      <w:r>
        <w:rPr>
          <w:rFonts w:hint="eastAsia" w:ascii="仿宋_GB2312" w:eastAsia="仿宋_GB2312"/>
          <w:b/>
          <w:sz w:val="24"/>
          <w:szCs w:val="24"/>
        </w:rPr>
        <w:t>三、修改</w:t>
      </w:r>
    </w:p>
    <w:p>
      <w:pPr>
        <w:rPr>
          <w:rFonts w:ascii="仿宋_GB2312" w:eastAsia="仿宋_GB2312"/>
          <w:sz w:val="24"/>
          <w:szCs w:val="24"/>
        </w:rPr>
      </w:pPr>
    </w:p>
    <w:p>
      <w:pPr>
        <w:rPr>
          <w:rFonts w:ascii="仿宋_GB2312" w:eastAsia="仿宋_GB2312"/>
          <w:sz w:val="24"/>
          <w:szCs w:val="24"/>
        </w:rPr>
      </w:pPr>
      <w:r>
        <w:rPr>
          <w:rFonts w:hint="eastAsia" w:ascii="仿宋_GB2312" w:eastAsia="仿宋_GB2312"/>
          <w:sz w:val="24"/>
          <w:szCs w:val="24"/>
        </w:rPr>
        <w:t>任何一方可以提议对合同条款进行补充和/或修改，双方在议定后进行相应的书面补充和/或修改。</w:t>
      </w:r>
    </w:p>
    <w:p>
      <w:pPr>
        <w:tabs>
          <w:tab w:val="left" w:pos="540"/>
          <w:tab w:val="left" w:pos="2760"/>
        </w:tabs>
        <w:ind w:firstLine="538" w:firstLineChars="224"/>
        <w:rPr>
          <w:rFonts w:ascii="仿宋_GB2312" w:eastAsia="仿宋_GB2312"/>
          <w:sz w:val="24"/>
          <w:szCs w:val="24"/>
          <w:lang w:val="en-GB"/>
        </w:rPr>
      </w:pPr>
    </w:p>
    <w:p>
      <w:pPr>
        <w:numPr>
          <w:ilvl w:val="0"/>
          <w:numId w:val="1"/>
        </w:numPr>
        <w:tabs>
          <w:tab w:val="left" w:pos="0"/>
          <w:tab w:val="left" w:pos="1080"/>
          <w:tab w:val="clear" w:pos="1937"/>
        </w:tabs>
        <w:ind w:left="1080" w:hanging="1080"/>
        <w:rPr>
          <w:rFonts w:ascii="仿宋_GB2312" w:eastAsia="仿宋_GB2312"/>
          <w:b/>
          <w:sz w:val="24"/>
          <w:szCs w:val="24"/>
        </w:rPr>
      </w:pPr>
      <w:r>
        <w:rPr>
          <w:rFonts w:hint="eastAsia" w:ascii="仿宋_GB2312" w:eastAsia="仿宋_GB2312"/>
          <w:b/>
          <w:sz w:val="24"/>
          <w:szCs w:val="24"/>
        </w:rPr>
        <w:t>争议解决与适用法律</w:t>
      </w:r>
    </w:p>
    <w:p>
      <w:pPr>
        <w:rPr>
          <w:rFonts w:ascii="仿宋_GB2312" w:eastAsia="仿宋_GB2312"/>
          <w:b/>
          <w:sz w:val="24"/>
          <w:szCs w:val="24"/>
        </w:rPr>
      </w:pPr>
    </w:p>
    <w:p>
      <w:pPr>
        <w:tabs>
          <w:tab w:val="left" w:pos="735"/>
          <w:tab w:val="left" w:pos="2100"/>
        </w:tabs>
        <w:rPr>
          <w:rFonts w:ascii="仿宋_GB2312" w:eastAsia="仿宋_GB2312"/>
          <w:sz w:val="24"/>
          <w:szCs w:val="24"/>
        </w:rPr>
      </w:pPr>
      <w:r>
        <w:rPr>
          <w:rFonts w:hint="eastAsia" w:ascii="仿宋_GB2312" w:eastAsia="仿宋_GB2312"/>
          <w:sz w:val="24"/>
          <w:szCs w:val="24"/>
        </w:rPr>
        <w:t>一、甲乙双方应共同遵守本合同，在执行过程中发生纠纷，当事人双方应协商解决，协商不成时，任何一方均有权向甲方有管辖权的法院提起诉讼。</w:t>
      </w:r>
    </w:p>
    <w:p>
      <w:pPr>
        <w:rPr>
          <w:rFonts w:ascii="仿宋_GB2312" w:eastAsia="仿宋_GB2312"/>
          <w:b/>
          <w:sz w:val="24"/>
          <w:szCs w:val="24"/>
        </w:rPr>
      </w:pPr>
    </w:p>
    <w:p>
      <w:pPr>
        <w:tabs>
          <w:tab w:val="left" w:pos="840"/>
        </w:tabs>
        <w:spacing w:before="120"/>
        <w:rPr>
          <w:rFonts w:ascii="仿宋_GB2312" w:eastAsia="仿宋_GB2312"/>
          <w:sz w:val="24"/>
          <w:szCs w:val="24"/>
        </w:rPr>
      </w:pPr>
      <w:r>
        <w:rPr>
          <w:rFonts w:hint="eastAsia" w:ascii="仿宋_GB2312" w:eastAsia="仿宋_GB2312"/>
          <w:sz w:val="24"/>
          <w:szCs w:val="24"/>
        </w:rPr>
        <w:t>二、未经甲方事先书面同意，乙方不得以任何原因将本合同转让给第三方。如该转移、转让或分包被甲方批准，乙方仍应对所有本合同项下转移、转让和/或分包义务的履行负责。任何分包商的所有费用、支出和/或损害赔偿，以及分包商的故意或非故意的作为、不作为或失误均由乙方承担责任。</w:t>
      </w:r>
    </w:p>
    <w:p>
      <w:pPr>
        <w:tabs>
          <w:tab w:val="left" w:pos="540"/>
          <w:tab w:val="left" w:pos="735"/>
          <w:tab w:val="left" w:pos="2100"/>
        </w:tabs>
        <w:rPr>
          <w:rFonts w:ascii="仿宋_GB2312" w:eastAsia="仿宋_GB2312"/>
          <w:sz w:val="24"/>
          <w:szCs w:val="24"/>
        </w:rPr>
      </w:pPr>
    </w:p>
    <w:p>
      <w:pPr>
        <w:numPr>
          <w:ilvl w:val="0"/>
          <w:numId w:val="8"/>
        </w:numPr>
        <w:rPr>
          <w:rFonts w:ascii="仿宋_GB2312" w:eastAsia="仿宋_GB2312"/>
          <w:sz w:val="24"/>
          <w:szCs w:val="24"/>
        </w:rPr>
      </w:pPr>
      <w:r>
        <w:rPr>
          <w:rFonts w:hint="eastAsia" w:ascii="仿宋_GB2312" w:eastAsia="仿宋_GB2312"/>
          <w:sz w:val="24"/>
          <w:szCs w:val="24"/>
        </w:rPr>
        <w:t>本合同</w:t>
      </w:r>
      <w:r>
        <w:rPr>
          <w:rFonts w:hint="eastAsia" w:ascii="仿宋_GB2312" w:eastAsia="仿宋_GB2312"/>
          <w:sz w:val="24"/>
          <w:szCs w:val="24"/>
          <w:lang w:val="zh-CN"/>
        </w:rPr>
        <w:t>一式四（4）份</w:t>
      </w:r>
      <w:r>
        <w:rPr>
          <w:rFonts w:hint="eastAsia" w:ascii="仿宋_GB2312" w:eastAsia="仿宋_GB2312"/>
          <w:sz w:val="24"/>
          <w:szCs w:val="24"/>
        </w:rPr>
        <w:t>，法律效力相同，甲乙双方各执两份。</w:t>
      </w:r>
    </w:p>
    <w:p>
      <w:pPr>
        <w:ind w:left="480"/>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tbl>
      <w:tblPr>
        <w:tblStyle w:val="24"/>
        <w:tblpPr w:leftFromText="180" w:rightFromText="180" w:vertAnchor="text" w:horzAnchor="margin" w:tblpY="176"/>
        <w:tblW w:w="8095" w:type="dxa"/>
        <w:tblInd w:w="0" w:type="dxa"/>
        <w:tblLayout w:type="fixed"/>
        <w:tblCellMar>
          <w:top w:w="0" w:type="dxa"/>
          <w:left w:w="108" w:type="dxa"/>
          <w:bottom w:w="0" w:type="dxa"/>
          <w:right w:w="108" w:type="dxa"/>
        </w:tblCellMar>
      </w:tblPr>
      <w:tblGrid>
        <w:gridCol w:w="4135"/>
        <w:gridCol w:w="3960"/>
      </w:tblGrid>
      <w:tr>
        <w:tblPrEx>
          <w:tblLayout w:type="fixed"/>
          <w:tblCellMar>
            <w:top w:w="0" w:type="dxa"/>
            <w:left w:w="108" w:type="dxa"/>
            <w:bottom w:w="0" w:type="dxa"/>
            <w:right w:w="108" w:type="dxa"/>
          </w:tblCellMar>
        </w:tblPrEx>
        <w:tc>
          <w:tcPr>
            <w:tcW w:w="4135" w:type="dxa"/>
            <w:shd w:val="clear" w:color="auto" w:fill="auto"/>
          </w:tcPr>
          <w:p>
            <w:pPr>
              <w:snapToGrid w:val="0"/>
              <w:rPr>
                <w:rFonts w:ascii="仿宋_GB2312" w:eastAsia="仿宋_GB2312"/>
                <w:sz w:val="24"/>
              </w:rPr>
            </w:pPr>
            <w:r>
              <w:rPr>
                <w:rFonts w:hint="eastAsia" w:ascii="仿宋_GB2312" w:eastAsia="仿宋_GB2312"/>
                <w:sz w:val="24"/>
              </w:rPr>
              <w:t>甲方：</w:t>
            </w:r>
            <w:r>
              <w:rPr>
                <w:rFonts w:hint="eastAsia" w:ascii="仿宋_GB2312" w:eastAsia="仿宋_GB2312"/>
                <w:b/>
                <w:sz w:val="24"/>
              </w:rPr>
              <w:t>浙江航空开发有限责任公司</w:t>
            </w:r>
          </w:p>
          <w:p>
            <w:pPr>
              <w:snapToGrid w:val="0"/>
              <w:rPr>
                <w:rFonts w:ascii="仿宋_GB2312" w:eastAsia="仿宋_GB2312"/>
                <w:sz w:val="24"/>
              </w:rPr>
            </w:pPr>
            <w:r>
              <w:rPr>
                <w:rFonts w:hint="eastAsia" w:ascii="仿宋_GB2312" w:eastAsia="仿宋_GB2312"/>
                <w:sz w:val="24"/>
              </w:rPr>
              <w:t>（盖章）</w:t>
            </w:r>
          </w:p>
        </w:tc>
        <w:tc>
          <w:tcPr>
            <w:tcW w:w="3960" w:type="dxa"/>
            <w:shd w:val="clear" w:color="auto" w:fill="auto"/>
          </w:tcPr>
          <w:p>
            <w:pPr>
              <w:snapToGrid w:val="0"/>
              <w:rPr>
                <w:rFonts w:ascii="仿宋_GB2312" w:eastAsia="仿宋_GB2312"/>
                <w:sz w:val="24"/>
              </w:rPr>
            </w:pPr>
            <w:r>
              <w:rPr>
                <w:rFonts w:hint="eastAsia" w:ascii="仿宋_GB2312" w:eastAsia="仿宋_GB2312"/>
                <w:sz w:val="24"/>
              </w:rPr>
              <w:t xml:space="preserve">  乙方： </w:t>
            </w:r>
          </w:p>
          <w:p>
            <w:pPr>
              <w:snapToGrid w:val="0"/>
              <w:rPr>
                <w:rFonts w:ascii="仿宋_GB2312" w:eastAsia="仿宋_GB2312"/>
                <w:sz w:val="24"/>
              </w:rPr>
            </w:pPr>
            <w:r>
              <w:rPr>
                <w:rFonts w:hint="eastAsia" w:ascii="仿宋_GB2312" w:eastAsia="仿宋_GB2312"/>
                <w:sz w:val="24"/>
              </w:rPr>
              <w:t xml:space="preserve">   （盖章）</w:t>
            </w:r>
          </w:p>
        </w:tc>
      </w:tr>
      <w:tr>
        <w:tblPrEx>
          <w:tblLayout w:type="fixed"/>
          <w:tblCellMar>
            <w:top w:w="0" w:type="dxa"/>
            <w:left w:w="108" w:type="dxa"/>
            <w:bottom w:w="0" w:type="dxa"/>
            <w:right w:w="108" w:type="dxa"/>
          </w:tblCellMar>
        </w:tblPrEx>
        <w:tc>
          <w:tcPr>
            <w:tcW w:w="4135" w:type="dxa"/>
            <w:shd w:val="clear" w:color="auto" w:fill="auto"/>
          </w:tcPr>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r>
              <w:rPr>
                <w:rFonts w:hint="eastAsia" w:ascii="仿宋_GB2312" w:eastAsia="仿宋_GB2312"/>
                <w:sz w:val="24"/>
              </w:rPr>
              <w:t>______________</w:t>
            </w:r>
          </w:p>
          <w:p>
            <w:pPr>
              <w:snapToGrid w:val="0"/>
              <w:rPr>
                <w:rFonts w:ascii="仿宋_GB2312" w:eastAsia="仿宋_GB2312"/>
                <w:sz w:val="24"/>
              </w:rPr>
            </w:pPr>
            <w:r>
              <w:rPr>
                <w:rFonts w:hint="eastAsia" w:ascii="仿宋_GB2312" w:eastAsia="仿宋_GB2312"/>
                <w:sz w:val="24"/>
              </w:rPr>
              <w:t>授权代表：</w:t>
            </w:r>
          </w:p>
          <w:p>
            <w:pPr>
              <w:snapToGrid w:val="0"/>
              <w:rPr>
                <w:rFonts w:ascii="仿宋_GB2312" w:eastAsia="仿宋_GB2312"/>
                <w:sz w:val="24"/>
              </w:rPr>
            </w:pPr>
            <w:r>
              <w:rPr>
                <w:rFonts w:hint="eastAsia" w:ascii="仿宋_GB2312" w:eastAsia="仿宋_GB2312"/>
                <w:sz w:val="24"/>
              </w:rPr>
              <w:t xml:space="preserve">职务： </w:t>
            </w:r>
          </w:p>
        </w:tc>
        <w:tc>
          <w:tcPr>
            <w:tcW w:w="3960" w:type="dxa"/>
            <w:shd w:val="clear" w:color="auto" w:fill="auto"/>
          </w:tcPr>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r>
              <w:rPr>
                <w:rFonts w:hint="eastAsia" w:ascii="仿宋_GB2312" w:eastAsia="仿宋_GB2312"/>
                <w:sz w:val="24"/>
              </w:rPr>
              <w:t xml:space="preserve">   ______________</w:t>
            </w:r>
          </w:p>
          <w:p>
            <w:pPr>
              <w:snapToGrid w:val="0"/>
              <w:rPr>
                <w:rFonts w:ascii="仿宋_GB2312" w:eastAsia="仿宋_GB2312"/>
                <w:sz w:val="24"/>
              </w:rPr>
            </w:pPr>
            <w:r>
              <w:rPr>
                <w:rFonts w:hint="eastAsia" w:ascii="仿宋_GB2312" w:eastAsia="仿宋_GB2312"/>
                <w:sz w:val="24"/>
              </w:rPr>
              <w:t xml:space="preserve">   授权代表：</w:t>
            </w:r>
          </w:p>
          <w:p>
            <w:pPr>
              <w:snapToGrid w:val="0"/>
              <w:rPr>
                <w:rFonts w:ascii="仿宋_GB2312" w:eastAsia="仿宋_GB2312"/>
                <w:sz w:val="24"/>
              </w:rPr>
            </w:pPr>
            <w:r>
              <w:rPr>
                <w:rFonts w:hint="eastAsia" w:ascii="仿宋_GB2312" w:eastAsia="仿宋_GB2312"/>
                <w:sz w:val="24"/>
              </w:rPr>
              <w:t xml:space="preserve">   职务：</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rPr>
      </w:pPr>
      <w:r>
        <w:rPr>
          <w:rFonts w:ascii="仿宋_GB2312" w:eastAsia="仿宋_GB2312"/>
        </w:rPr>
        <w:br w:type="page"/>
      </w:r>
      <w:r>
        <w:rPr>
          <w:rFonts w:hint="eastAsia" w:ascii="宋体"/>
          <w:b/>
          <w:sz w:val="44"/>
          <w:szCs w:val="44"/>
        </w:rPr>
        <w:t>运输质量协议</w:t>
      </w:r>
    </w:p>
    <w:p>
      <w:pPr>
        <w:tabs>
          <w:tab w:val="left" w:pos="864"/>
        </w:tabs>
        <w:spacing w:beforeLines="50" w:line="288" w:lineRule="auto"/>
        <w:rPr>
          <w:rFonts w:ascii="仿宋_GB2312" w:eastAsia="仿宋_GB2312"/>
          <w:b/>
          <w:caps/>
          <w:lang w:val="en-GB"/>
        </w:rPr>
      </w:pPr>
    </w:p>
    <w:p>
      <w:pPr>
        <w:tabs>
          <w:tab w:val="left" w:pos="2127"/>
        </w:tabs>
        <w:snapToGrid w:val="0"/>
        <w:spacing w:beforeLines="50" w:line="288" w:lineRule="auto"/>
        <w:rPr>
          <w:rFonts w:ascii="仿宋_GB2312" w:eastAsia="仿宋_GB2312"/>
          <w:b/>
          <w:bCs/>
        </w:rPr>
      </w:pPr>
      <w:r>
        <w:rPr>
          <w:rFonts w:hint="eastAsia" w:ascii="仿宋_GB2312" w:eastAsia="仿宋_GB2312"/>
          <w:b/>
          <w:lang w:val="zh-CN"/>
        </w:rPr>
        <w:t>甲方</w:t>
      </w:r>
      <w:r>
        <w:rPr>
          <w:rFonts w:hint="eastAsia" w:ascii="仿宋_GB2312" w:eastAsia="仿宋_GB2312"/>
          <w:b/>
        </w:rPr>
        <w:t>：</w:t>
      </w:r>
      <w:r>
        <w:rPr>
          <w:rFonts w:hint="eastAsia" w:ascii="仿宋_GB2312" w:eastAsia="仿宋_GB2312"/>
          <w:b/>
          <w:bCs/>
        </w:rPr>
        <w:t>浙江航空开发有限责任公司</w:t>
      </w:r>
    </w:p>
    <w:p>
      <w:pPr>
        <w:tabs>
          <w:tab w:val="left" w:pos="2127"/>
        </w:tabs>
        <w:snapToGrid w:val="0"/>
        <w:spacing w:beforeLines="50" w:line="288" w:lineRule="auto"/>
        <w:rPr>
          <w:rFonts w:ascii="仿宋_GB2312" w:eastAsia="仿宋_GB2312"/>
          <w:lang w:val="en-GB"/>
        </w:rPr>
      </w:pPr>
      <w:r>
        <w:rPr>
          <w:rFonts w:hint="eastAsia" w:ascii="仿宋_GB2312" w:eastAsia="仿宋_GB2312"/>
          <w:b/>
          <w:lang w:val="zh-CN"/>
        </w:rPr>
        <w:t>合同委托方</w:t>
      </w:r>
      <w:r>
        <w:rPr>
          <w:rFonts w:hint="eastAsia" w:ascii="仿宋_GB2312" w:eastAsia="仿宋_GB2312"/>
          <w:b/>
          <w:lang w:val="en-GB"/>
        </w:rPr>
        <w:t>，</w:t>
      </w:r>
      <w:r>
        <w:rPr>
          <w:rFonts w:hint="eastAsia" w:ascii="仿宋_GB2312" w:eastAsia="仿宋_GB2312"/>
          <w:b/>
          <w:lang w:val="zh-CN"/>
        </w:rPr>
        <w:t>注册办公室位于</w:t>
      </w:r>
      <w:r>
        <w:rPr>
          <w:rFonts w:hint="eastAsia" w:ascii="仿宋_GB2312" w:eastAsia="仿宋_GB2312"/>
        </w:rPr>
        <w:t>浙江省杭州市萧山国际机场浙航大道</w:t>
      </w:r>
      <w:r>
        <w:rPr>
          <w:rFonts w:hint="eastAsia" w:ascii="仿宋_GB2312" w:eastAsia="仿宋_GB2312"/>
          <w:lang w:val="en-GB"/>
        </w:rPr>
        <w:t>，</w:t>
      </w:r>
      <w:r>
        <w:rPr>
          <w:rFonts w:hint="eastAsia" w:ascii="仿宋_GB2312" w:eastAsia="仿宋_GB2312"/>
          <w:lang w:val="zh-CN"/>
        </w:rPr>
        <w:t>由质量受权人及总经理代表</w:t>
      </w:r>
      <w:r>
        <w:rPr>
          <w:rFonts w:hint="eastAsia" w:ascii="仿宋_GB2312" w:eastAsia="仿宋_GB2312"/>
          <w:lang w:val="en-GB"/>
        </w:rPr>
        <w:t>，</w:t>
      </w:r>
    </w:p>
    <w:p>
      <w:pPr>
        <w:tabs>
          <w:tab w:val="left" w:pos="864"/>
        </w:tabs>
        <w:spacing w:beforeLines="50" w:line="288" w:lineRule="auto"/>
        <w:rPr>
          <w:rFonts w:ascii="仿宋_GB2312" w:eastAsia="仿宋_GB2312"/>
          <w:b/>
          <w:lang w:val="en-GB"/>
        </w:rPr>
      </w:pPr>
    </w:p>
    <w:p>
      <w:pPr>
        <w:tabs>
          <w:tab w:val="left" w:pos="864"/>
        </w:tabs>
        <w:spacing w:beforeLines="50" w:line="288" w:lineRule="auto"/>
        <w:rPr>
          <w:rFonts w:ascii="仿宋_GB2312" w:eastAsia="仿宋_GB2312"/>
          <w:b/>
          <w:lang w:val="en-GB"/>
        </w:rPr>
      </w:pPr>
      <w:r>
        <w:rPr>
          <w:rFonts w:hint="eastAsia" w:ascii="仿宋_GB2312" w:eastAsia="仿宋_GB2312"/>
          <w:b/>
          <w:lang w:val="en-GB"/>
        </w:rPr>
        <w:t>和</w:t>
      </w:r>
    </w:p>
    <w:p>
      <w:pPr>
        <w:tabs>
          <w:tab w:val="left" w:pos="2127"/>
        </w:tabs>
        <w:snapToGrid w:val="0"/>
        <w:rPr>
          <w:rFonts w:ascii="仿宋_GB2312" w:eastAsia="仿宋_GB2312"/>
          <w:b/>
          <w:lang w:val="zh-CN"/>
        </w:rPr>
      </w:pPr>
    </w:p>
    <w:p>
      <w:pPr>
        <w:tabs>
          <w:tab w:val="left" w:pos="2127"/>
        </w:tabs>
        <w:snapToGrid w:val="0"/>
        <w:rPr>
          <w:rFonts w:ascii="仿宋_GB2312" w:eastAsia="仿宋_GB2312"/>
          <w:b/>
          <w:lang w:val="zh-CN"/>
        </w:rPr>
      </w:pPr>
    </w:p>
    <w:p>
      <w:pPr>
        <w:tabs>
          <w:tab w:val="left" w:pos="2127"/>
        </w:tabs>
        <w:snapToGrid w:val="0"/>
        <w:spacing w:beforeLines="50" w:line="288" w:lineRule="auto"/>
        <w:rPr>
          <w:rFonts w:ascii="仿宋_GB2312" w:eastAsia="仿宋_GB2312"/>
          <w:lang w:val="en-GB"/>
        </w:rPr>
      </w:pPr>
      <w:r>
        <w:rPr>
          <w:rFonts w:hint="eastAsia" w:ascii="仿宋_GB2312" w:eastAsia="仿宋_GB2312"/>
          <w:b/>
          <w:lang w:val="zh-CN"/>
        </w:rPr>
        <w:t>乙方</w:t>
      </w:r>
      <w:r>
        <w:rPr>
          <w:rFonts w:hint="eastAsia" w:ascii="仿宋_GB2312" w:eastAsia="仿宋_GB2312"/>
          <w:b/>
        </w:rPr>
        <w:t>：</w:t>
      </w:r>
    </w:p>
    <w:p>
      <w:pPr>
        <w:tabs>
          <w:tab w:val="left" w:pos="864"/>
        </w:tabs>
        <w:spacing w:beforeLines="50" w:line="288" w:lineRule="auto"/>
        <w:rPr>
          <w:rFonts w:ascii="仿宋_GB2312" w:eastAsia="仿宋_GB2312"/>
          <w:b/>
          <w:lang w:val="zh-CN"/>
        </w:rPr>
      </w:pPr>
      <w:r>
        <w:rPr>
          <w:rFonts w:hint="eastAsia" w:ascii="仿宋_GB2312" w:eastAsia="仿宋_GB2312"/>
          <w:b/>
          <w:lang w:val="zh-CN"/>
        </w:rPr>
        <w:t>合同受托方</w:t>
      </w:r>
      <w:r>
        <w:rPr>
          <w:rFonts w:hint="eastAsia" w:ascii="仿宋_GB2312" w:eastAsia="仿宋_GB2312"/>
          <w:b/>
          <w:lang w:val="en-GB"/>
        </w:rPr>
        <w:t>，</w:t>
      </w:r>
      <w:r>
        <w:rPr>
          <w:rFonts w:hint="eastAsia" w:ascii="仿宋_GB2312" w:eastAsia="仿宋_GB2312"/>
          <w:b/>
          <w:lang w:val="zh-CN"/>
        </w:rPr>
        <w:t>注册办公室位于</w:t>
      </w:r>
    </w:p>
    <w:p>
      <w:pPr>
        <w:tabs>
          <w:tab w:val="left" w:pos="864"/>
        </w:tabs>
        <w:spacing w:beforeLines="50" w:line="288" w:lineRule="auto"/>
        <w:rPr>
          <w:rFonts w:ascii="仿宋_GB2312" w:eastAsia="仿宋_GB2312"/>
          <w:b/>
          <w:lang w:val="zh-CN"/>
        </w:rPr>
      </w:pPr>
    </w:p>
    <w:p>
      <w:pPr>
        <w:tabs>
          <w:tab w:val="left" w:pos="864"/>
        </w:tabs>
        <w:spacing w:beforeLines="50" w:line="288" w:lineRule="auto"/>
        <w:rPr>
          <w:rFonts w:ascii="仿宋_GB2312" w:eastAsia="仿宋_GB2312"/>
          <w:lang w:val="en-GB"/>
        </w:rPr>
      </w:pPr>
      <w:r>
        <w:rPr>
          <w:rFonts w:hint="eastAsia" w:ascii="仿宋_GB2312" w:eastAsia="仿宋_GB2312"/>
          <w:b/>
          <w:lang w:val="zh-CN"/>
        </w:rPr>
        <w:t>合同委托方和合同受托方</w:t>
      </w:r>
      <w:r>
        <w:rPr>
          <w:rFonts w:hint="eastAsia" w:ascii="仿宋_GB2312" w:eastAsia="仿宋_GB2312"/>
          <w:lang w:val="zh-CN"/>
        </w:rPr>
        <w:t>以下称为</w:t>
      </w:r>
      <w:r>
        <w:rPr>
          <w:rFonts w:hint="eastAsia" w:ascii="仿宋_GB2312" w:eastAsia="仿宋_GB2312"/>
          <w:lang w:val="en-GB"/>
        </w:rPr>
        <w:t>“</w:t>
      </w:r>
      <w:r>
        <w:rPr>
          <w:rFonts w:hint="eastAsia" w:ascii="仿宋_GB2312" w:eastAsia="仿宋_GB2312"/>
          <w:b/>
          <w:lang w:val="zh-CN"/>
        </w:rPr>
        <w:t>双方</w:t>
      </w:r>
      <w:r>
        <w:rPr>
          <w:rFonts w:hint="eastAsia" w:ascii="仿宋_GB2312" w:eastAsia="仿宋_GB2312"/>
          <w:lang w:val="en-GB"/>
        </w:rPr>
        <w:t>”</w:t>
      </w:r>
      <w:r>
        <w:rPr>
          <w:rFonts w:hint="eastAsia" w:ascii="仿宋_GB2312" w:eastAsia="仿宋_GB2312"/>
          <w:lang w:val="zh-CN"/>
        </w:rPr>
        <w:t>。</w:t>
      </w:r>
    </w:p>
    <w:p>
      <w:pPr>
        <w:tabs>
          <w:tab w:val="left" w:pos="864"/>
        </w:tabs>
        <w:spacing w:beforeLines="50" w:line="288" w:lineRule="auto"/>
        <w:rPr>
          <w:rFonts w:ascii="仿宋_GB2312" w:eastAsia="仿宋_GB2312"/>
          <w:lang w:val="en-GB"/>
        </w:rPr>
      </w:pPr>
      <w:bookmarkStart w:id="27" w:name="OLE_LINK3"/>
      <w:bookmarkStart w:id="28" w:name="OLE_LINK4"/>
    </w:p>
    <w:p>
      <w:pPr>
        <w:tabs>
          <w:tab w:val="left" w:pos="864"/>
        </w:tabs>
        <w:spacing w:beforeLines="50" w:line="288" w:lineRule="auto"/>
        <w:rPr>
          <w:rFonts w:ascii="仿宋_GB2312" w:eastAsia="仿宋_GB2312"/>
          <w:lang w:val="zh-CN"/>
        </w:rPr>
      </w:pPr>
      <w:r>
        <w:rPr>
          <w:rFonts w:hint="eastAsia" w:ascii="仿宋_GB2312" w:eastAsia="仿宋_GB2312"/>
          <w:lang w:val="zh-CN"/>
        </w:rPr>
        <w:t>鉴于</w:t>
      </w:r>
      <w:r>
        <w:rPr>
          <w:rFonts w:hint="eastAsia" w:ascii="仿宋_GB2312" w:eastAsia="仿宋_GB2312"/>
          <w:lang w:val="en-GB"/>
        </w:rPr>
        <w:t>，</w:t>
      </w:r>
      <w:r>
        <w:rPr>
          <w:rFonts w:hint="eastAsia" w:ascii="仿宋_GB2312" w:eastAsia="仿宋_GB2312"/>
          <w:b/>
          <w:lang w:val="zh-CN"/>
        </w:rPr>
        <w:t>合同委托方</w:t>
      </w:r>
      <w:r>
        <w:rPr>
          <w:rFonts w:hint="eastAsia" w:ascii="仿宋_GB2312" w:eastAsia="仿宋_GB2312"/>
          <w:lang w:val="zh-CN"/>
        </w:rPr>
        <w:t>是下文中所定义的货物的物流服务需求方。</w:t>
      </w:r>
    </w:p>
    <w:bookmarkEnd w:id="27"/>
    <w:bookmarkEnd w:id="28"/>
    <w:p>
      <w:pPr>
        <w:tabs>
          <w:tab w:val="left" w:pos="864"/>
        </w:tabs>
        <w:spacing w:beforeLines="50" w:line="288" w:lineRule="auto"/>
        <w:rPr>
          <w:rFonts w:ascii="仿宋_GB2312" w:eastAsia="仿宋_GB2312"/>
          <w:b/>
          <w:lang w:val="zh-CN"/>
        </w:rPr>
      </w:pPr>
      <w:bookmarkStart w:id="29" w:name="OLE_LINK5"/>
      <w:bookmarkStart w:id="30" w:name="OLE_LINK6"/>
      <w:r>
        <w:rPr>
          <w:rFonts w:hint="eastAsia" w:ascii="仿宋_GB2312" w:eastAsia="仿宋_GB2312"/>
          <w:lang w:val="zh-CN"/>
        </w:rPr>
        <w:t>鉴于</w:t>
      </w:r>
      <w:r>
        <w:rPr>
          <w:rFonts w:hint="eastAsia" w:ascii="仿宋_GB2312" w:eastAsia="仿宋_GB2312"/>
          <w:lang w:val="en-GB"/>
        </w:rPr>
        <w:t>，</w:t>
      </w:r>
      <w:r>
        <w:rPr>
          <w:rFonts w:hint="eastAsia" w:ascii="仿宋_GB2312" w:eastAsia="仿宋_GB2312"/>
          <w:b/>
          <w:lang w:val="zh-CN"/>
        </w:rPr>
        <w:t>合同委托方</w:t>
      </w:r>
      <w:r>
        <w:rPr>
          <w:rFonts w:hint="eastAsia" w:ascii="仿宋_GB2312" w:eastAsia="仿宋_GB2312"/>
          <w:lang w:val="zh-CN"/>
        </w:rPr>
        <w:t>已委托</w:t>
      </w:r>
      <w:r>
        <w:rPr>
          <w:rFonts w:hint="eastAsia" w:ascii="仿宋_GB2312" w:eastAsia="仿宋_GB2312"/>
          <w:b/>
          <w:lang w:val="zh-CN"/>
        </w:rPr>
        <w:t>合同受托方</w:t>
      </w:r>
      <w:r>
        <w:rPr>
          <w:rFonts w:hint="eastAsia" w:ascii="仿宋_GB2312" w:eastAsia="仿宋_GB2312"/>
          <w:lang w:val="en-GB"/>
        </w:rPr>
        <w:t>，</w:t>
      </w:r>
      <w:r>
        <w:rPr>
          <w:rFonts w:hint="eastAsia" w:ascii="仿宋_GB2312" w:eastAsia="仿宋_GB2312"/>
          <w:lang w:val="zh-CN"/>
        </w:rPr>
        <w:t>根据</w:t>
      </w:r>
      <w:r>
        <w:rPr>
          <w:rFonts w:hint="eastAsia" w:ascii="仿宋_GB2312" w:eastAsia="仿宋_GB2312"/>
          <w:b/>
          <w:lang w:val="zh-CN"/>
        </w:rPr>
        <w:t>双方</w:t>
      </w:r>
      <w:r>
        <w:rPr>
          <w:rFonts w:hint="eastAsia" w:ascii="仿宋_GB2312" w:eastAsia="仿宋_GB2312"/>
          <w:lang w:val="zh-CN"/>
        </w:rPr>
        <w:t>之间注有日期的物流服务协议</w:t>
      </w:r>
      <w:r>
        <w:rPr>
          <w:rFonts w:hint="eastAsia" w:ascii="仿宋_GB2312" w:eastAsia="仿宋_GB2312"/>
          <w:lang w:val="en-GB"/>
        </w:rPr>
        <w:t>，</w:t>
      </w:r>
      <w:r>
        <w:rPr>
          <w:rFonts w:hint="eastAsia" w:ascii="仿宋_GB2312" w:eastAsia="仿宋_GB2312"/>
          <w:lang w:val="zh-CN"/>
        </w:rPr>
        <w:t>在</w:t>
      </w:r>
      <w:r>
        <w:rPr>
          <w:rFonts w:hint="eastAsia" w:ascii="仿宋_GB2312" w:eastAsia="仿宋_GB2312"/>
          <w:lang w:val="en-GB"/>
        </w:rPr>
        <w:t>地域内</w:t>
      </w:r>
      <w:r>
        <w:rPr>
          <w:rFonts w:hint="eastAsia" w:ascii="仿宋_GB2312" w:eastAsia="仿宋_GB2312"/>
          <w:lang w:val="zh-CN"/>
        </w:rPr>
        <w:t>为甲方提供合同所约定的服务</w:t>
      </w:r>
      <w:r>
        <w:rPr>
          <w:rFonts w:hint="eastAsia" w:ascii="仿宋_GB2312" w:eastAsia="仿宋_GB2312"/>
          <w:lang w:val="en-GB"/>
        </w:rPr>
        <w:t>，</w:t>
      </w:r>
      <w:r>
        <w:rPr>
          <w:rFonts w:hint="eastAsia" w:ascii="仿宋_GB2312" w:eastAsia="仿宋_GB2312"/>
          <w:lang w:val="zh-CN"/>
        </w:rPr>
        <w:t>并得到</w:t>
      </w:r>
      <w:r>
        <w:rPr>
          <w:rFonts w:hint="eastAsia" w:ascii="仿宋_GB2312" w:eastAsia="仿宋_GB2312"/>
          <w:b/>
          <w:lang w:val="zh-CN"/>
        </w:rPr>
        <w:t>合同受托方</w:t>
      </w:r>
      <w:r>
        <w:rPr>
          <w:rFonts w:hint="eastAsia" w:ascii="仿宋_GB2312" w:eastAsia="仿宋_GB2312"/>
          <w:lang w:val="zh-CN"/>
        </w:rPr>
        <w:t>的接受</w:t>
      </w:r>
      <w:r>
        <w:rPr>
          <w:rFonts w:hint="eastAsia" w:ascii="仿宋_GB2312" w:eastAsia="仿宋_GB2312"/>
          <w:b/>
          <w:lang w:val="zh-CN"/>
        </w:rPr>
        <w:t>。</w:t>
      </w:r>
    </w:p>
    <w:bookmarkEnd w:id="29"/>
    <w:bookmarkEnd w:id="30"/>
    <w:p>
      <w:pPr>
        <w:tabs>
          <w:tab w:val="left" w:pos="864"/>
        </w:tabs>
        <w:spacing w:beforeLines="50" w:line="288" w:lineRule="auto"/>
        <w:rPr>
          <w:rFonts w:ascii="仿宋_GB2312" w:eastAsia="仿宋_GB2312"/>
          <w:lang w:val="zh-CN"/>
        </w:rPr>
      </w:pPr>
      <w:r>
        <w:rPr>
          <w:rFonts w:hint="eastAsia" w:ascii="仿宋_GB2312" w:eastAsia="仿宋_GB2312"/>
          <w:b/>
          <w:lang w:val="zh-CN"/>
        </w:rPr>
        <w:t>合同</w:t>
      </w:r>
      <w:r>
        <w:rPr>
          <w:rFonts w:hint="eastAsia" w:ascii="仿宋_GB2312" w:eastAsia="仿宋_GB2312"/>
          <w:b/>
        </w:rPr>
        <w:t>受托</w:t>
      </w:r>
      <w:r>
        <w:rPr>
          <w:rFonts w:hint="eastAsia" w:ascii="仿宋_GB2312" w:eastAsia="仿宋_GB2312"/>
          <w:b/>
          <w:lang w:val="zh-CN"/>
        </w:rPr>
        <w:t>方</w:t>
      </w:r>
      <w:r>
        <w:rPr>
          <w:rFonts w:hint="eastAsia" w:ascii="仿宋_GB2312" w:eastAsia="仿宋_GB2312"/>
          <w:lang w:val="zh-CN"/>
        </w:rPr>
        <w:t>声明它具有监管机构所要求的相关合法资质以及相关法规要求的库房和设备来履行合同所约定的服务内容</w:t>
      </w:r>
      <w:r>
        <w:rPr>
          <w:rFonts w:hint="eastAsia" w:ascii="仿宋_GB2312" w:eastAsia="仿宋_GB2312"/>
          <w:lang w:val="en-GB"/>
        </w:rPr>
        <w:t>，</w:t>
      </w:r>
      <w:r>
        <w:rPr>
          <w:rFonts w:hint="eastAsia" w:ascii="仿宋_GB2312" w:eastAsia="仿宋_GB2312"/>
          <w:lang w:val="zh-CN"/>
        </w:rPr>
        <w:t>并且它采取适当措施来保证货物的质量</w:t>
      </w:r>
      <w:r>
        <w:rPr>
          <w:rFonts w:hint="eastAsia" w:ascii="仿宋_GB2312" w:eastAsia="仿宋_GB2312"/>
          <w:lang w:val="en-GB"/>
        </w:rPr>
        <w:t>，</w:t>
      </w:r>
      <w:r>
        <w:rPr>
          <w:rFonts w:hint="eastAsia" w:ascii="仿宋_GB2312" w:eastAsia="仿宋_GB2312"/>
          <w:lang w:val="zh-CN"/>
        </w:rPr>
        <w:t>并符合药品经营质量管理规范（国家食品药品监管总局令第28号）</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lang w:val="en-GB"/>
        </w:rPr>
        <w:br w:type="page"/>
      </w:r>
      <w:r>
        <w:rPr>
          <w:rFonts w:hint="eastAsia" w:ascii="仿宋_GB2312" w:eastAsia="仿宋_GB2312"/>
          <w:b/>
          <w:bCs/>
          <w:caps/>
          <w:lang w:val="en-GB"/>
        </w:rPr>
        <w:fldChar w:fldCharType="begin"/>
      </w:r>
      <w:r>
        <w:rPr>
          <w:rFonts w:hint="eastAsia" w:ascii="仿宋_GB2312" w:eastAsia="仿宋_GB2312"/>
          <w:b/>
          <w:bCs/>
          <w:caps/>
          <w:lang w:val="en-GB"/>
        </w:rPr>
        <w:instrText xml:space="preserve"> TOC \o "1-1" \h \z \t "标题 2,2" </w:instrText>
      </w:r>
      <w:r>
        <w:rPr>
          <w:rFonts w:hint="eastAsia" w:ascii="仿宋_GB2312" w:eastAsia="仿宋_GB2312"/>
          <w:b/>
          <w:bCs/>
          <w:caps/>
          <w:lang w:val="en-GB"/>
        </w:rPr>
        <w:fldChar w:fldCharType="separate"/>
      </w:r>
      <w:r>
        <w:rPr>
          <w:rFonts w:hint="eastAsia" w:ascii="仿宋_GB2312" w:eastAsia="仿宋_GB2312"/>
          <w:b/>
          <w:bCs/>
          <w:caps/>
        </w:rPr>
        <w:t>1.  本协议的主题</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2.  引言</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3.  服务供应商的基本信息</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4.  质量架构</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5.  人员</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6.  中转库房</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7.  运输服务</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8.  运输车辆</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9.  服务执行</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10. 发货跟踪</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11. 异常情况（投诉和异常）处理</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12. 交付时间</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13. 文件管理</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14. 变更控制</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15. 质量标准回顾</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16. 分包</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17. 质量审计</w:t>
      </w:r>
    </w:p>
    <w:p>
      <w:pPr>
        <w:tabs>
          <w:tab w:val="right" w:pos="8497"/>
        </w:tabs>
        <w:spacing w:before="120" w:after="120" w:line="336" w:lineRule="auto"/>
        <w:ind w:right="210" w:rightChars="100"/>
        <w:rPr>
          <w:rFonts w:ascii="仿宋_GB2312" w:eastAsia="仿宋_GB2312"/>
          <w:b/>
          <w:bCs/>
          <w:caps/>
        </w:rPr>
      </w:pPr>
      <w:r>
        <w:rPr>
          <w:rFonts w:hint="eastAsia" w:ascii="仿宋_GB2312" w:eastAsia="仿宋_GB2312"/>
          <w:b/>
          <w:bCs/>
          <w:caps/>
        </w:rPr>
        <w:t>18. 控制温度运输</w:t>
      </w:r>
    </w:p>
    <w:p>
      <w:pPr>
        <w:tabs>
          <w:tab w:val="right" w:pos="8497"/>
        </w:tabs>
        <w:spacing w:before="120" w:after="120" w:line="336" w:lineRule="auto"/>
        <w:ind w:right="210" w:rightChars="100"/>
        <w:rPr>
          <w:rFonts w:ascii="仿宋_GB2312" w:eastAsia="仿宋_GB2312"/>
        </w:rPr>
      </w:pPr>
      <w:r>
        <w:rPr>
          <w:rFonts w:hint="eastAsia" w:ascii="仿宋_GB2312" w:eastAsia="仿宋_GB2312"/>
          <w:b/>
          <w:bCs/>
          <w:caps/>
        </w:rPr>
        <w:t>19. 负责人</w:t>
      </w:r>
    </w:p>
    <w:p>
      <w:pPr>
        <w:spacing w:beforeLines="50" w:line="336" w:lineRule="auto"/>
        <w:ind w:right="210" w:rightChars="100"/>
        <w:rPr>
          <w:rFonts w:ascii="仿宋_GB2312" w:hAnsi="仿宋" w:eastAsia="仿宋_GB2312"/>
          <w:caps/>
        </w:rPr>
      </w:pPr>
      <w:r>
        <w:rPr>
          <w:rFonts w:hint="eastAsia" w:ascii="仿宋_GB2312" w:eastAsia="仿宋_GB2312"/>
          <w:lang w:val="en-GB"/>
        </w:rPr>
        <w:fldChar w:fldCharType="end"/>
      </w:r>
    </w:p>
    <w:p>
      <w:pPr>
        <w:spacing w:beforeLines="50"/>
        <w:ind w:right="210" w:rightChars="100"/>
        <w:rPr>
          <w:rFonts w:ascii="仿宋_GB2312" w:hAnsi="仿宋" w:eastAsia="仿宋_GB2312"/>
          <w:b/>
          <w:caps/>
        </w:rPr>
      </w:pPr>
      <w:bookmarkStart w:id="31" w:name="_Toc396473219"/>
      <w:r>
        <w:rPr>
          <w:rFonts w:hint="eastAsia" w:ascii="仿宋_GB2312" w:hAnsi="仿宋" w:eastAsia="仿宋_GB2312"/>
          <w:caps/>
        </w:rPr>
        <w:br w:type="page"/>
      </w:r>
      <w:bookmarkEnd w:id="31"/>
      <w:r>
        <w:rPr>
          <w:rFonts w:hint="eastAsia" w:ascii="仿宋_GB2312" w:hAnsi="仿宋" w:eastAsia="仿宋_GB2312"/>
          <w:b/>
          <w:caps/>
        </w:rPr>
        <w:t>1. 本协议的主题</w:t>
      </w:r>
    </w:p>
    <w:p>
      <w:pPr>
        <w:spacing w:beforeLines="50"/>
        <w:ind w:right="210" w:rightChars="100"/>
        <w:rPr>
          <w:rFonts w:ascii="仿宋_GB2312" w:hAnsi="仿宋" w:eastAsia="仿宋_GB2312"/>
          <w:caps/>
        </w:rPr>
      </w:pPr>
      <w:r>
        <w:rPr>
          <w:rFonts w:hint="eastAsia" w:ascii="仿宋_GB2312" w:hAnsi="仿宋" w:eastAsia="仿宋_GB2312"/>
          <w:caps/>
        </w:rPr>
        <w:t>本协议规定了服务供应商和合同委托方之间签订运输服务时应遵循的质量标准。</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2. 引言</w:t>
      </w:r>
    </w:p>
    <w:p>
      <w:pPr>
        <w:spacing w:beforeLines="50"/>
        <w:ind w:right="210" w:rightChars="100"/>
        <w:rPr>
          <w:rFonts w:ascii="仿宋_GB2312" w:hAnsi="仿宋" w:eastAsia="仿宋_GB2312"/>
          <w:caps/>
        </w:rPr>
      </w:pPr>
      <w:r>
        <w:rPr>
          <w:rFonts w:hint="eastAsia" w:ascii="仿宋_GB2312" w:hAnsi="仿宋" w:eastAsia="仿宋_GB2312"/>
          <w:caps/>
        </w:rPr>
        <w:t>待运输货物为药品，须受到药品管理法的监管。药品分销的运输业务必须保证药品质量得到保持，并且需要考虑风险、责任、要求和完善的专业处理。</w:t>
      </w:r>
    </w:p>
    <w:p>
      <w:pPr>
        <w:spacing w:beforeLines="50"/>
        <w:ind w:right="210" w:rightChars="100"/>
        <w:rPr>
          <w:rFonts w:ascii="仿宋_GB2312" w:hAnsi="仿宋" w:eastAsia="仿宋_GB2312"/>
          <w:caps/>
        </w:rPr>
      </w:pPr>
      <w:r>
        <w:rPr>
          <w:rFonts w:hint="eastAsia" w:ascii="仿宋_GB2312" w:hAnsi="仿宋" w:eastAsia="仿宋_GB2312"/>
          <w:caps/>
        </w:rPr>
        <w:t>服务供应商不具有制药公司的资质，因此不具备储存、销售、提供、销毁货物的权利。</w:t>
      </w:r>
    </w:p>
    <w:p>
      <w:pPr>
        <w:spacing w:beforeLines="50"/>
        <w:ind w:right="210" w:rightChars="100"/>
        <w:rPr>
          <w:rFonts w:ascii="仿宋_GB2312" w:hAnsi="仿宋" w:eastAsia="仿宋_GB2312"/>
          <w:caps/>
        </w:rPr>
      </w:pPr>
      <w:r>
        <w:rPr>
          <w:rFonts w:hint="eastAsia" w:ascii="仿宋_GB2312" w:hAnsi="仿宋" w:eastAsia="仿宋_GB2312"/>
          <w:caps/>
        </w:rPr>
        <w:t>撰写本质量协议旨在规范我们的服务供应商和其分包商应具备的最低质量水平。</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3. 服务供应商的基本信息</w:t>
      </w:r>
    </w:p>
    <w:p>
      <w:pPr>
        <w:spacing w:beforeLines="50"/>
        <w:ind w:right="210" w:rightChars="100"/>
        <w:rPr>
          <w:rFonts w:ascii="仿宋_GB2312" w:hAnsi="仿宋" w:eastAsia="仿宋_GB2312"/>
          <w:caps/>
        </w:rPr>
      </w:pPr>
      <w:r>
        <w:rPr>
          <w:rFonts w:hint="eastAsia" w:ascii="仿宋_GB2312" w:hAnsi="仿宋" w:eastAsia="仿宋_GB2312"/>
          <w:caps/>
        </w:rPr>
        <w:t>服务供应商必须应要求提供：</w:t>
      </w:r>
    </w:p>
    <w:p>
      <w:pPr>
        <w:numPr>
          <w:ilvl w:val="0"/>
          <w:numId w:val="9"/>
        </w:numPr>
        <w:spacing w:beforeLines="50"/>
        <w:ind w:right="210" w:rightChars="100"/>
        <w:rPr>
          <w:rFonts w:ascii="仿宋_GB2312" w:hAnsi="仿宋" w:eastAsia="仿宋_GB2312"/>
          <w:caps/>
        </w:rPr>
      </w:pPr>
      <w:r>
        <w:rPr>
          <w:rFonts w:hint="eastAsia" w:ascii="仿宋_GB2312" w:hAnsi="仿宋" w:eastAsia="仿宋_GB2312"/>
          <w:caps/>
        </w:rPr>
        <w:t>基本组织结构图，注明日期并签名</w:t>
      </w:r>
    </w:p>
    <w:p>
      <w:pPr>
        <w:numPr>
          <w:ilvl w:val="0"/>
          <w:numId w:val="9"/>
        </w:numPr>
        <w:spacing w:beforeLines="50"/>
        <w:ind w:right="210" w:rightChars="100"/>
        <w:rPr>
          <w:rFonts w:ascii="仿宋_GB2312" w:hAnsi="仿宋" w:eastAsia="仿宋_GB2312"/>
          <w:caps/>
        </w:rPr>
      </w:pPr>
      <w:r>
        <w:rPr>
          <w:rFonts w:hint="eastAsia" w:ascii="仿宋_GB2312" w:hAnsi="仿宋" w:eastAsia="仿宋_GB2312"/>
          <w:caps/>
        </w:rPr>
        <w:t>人力资源和物质资源的实施说明</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4. 质量架构</w:t>
      </w:r>
    </w:p>
    <w:p>
      <w:pPr>
        <w:spacing w:beforeLines="50"/>
        <w:ind w:right="210" w:rightChars="100"/>
        <w:rPr>
          <w:rFonts w:ascii="仿宋_GB2312" w:hAnsi="仿宋" w:eastAsia="仿宋_GB2312"/>
          <w:caps/>
        </w:rPr>
      </w:pPr>
      <w:r>
        <w:rPr>
          <w:rFonts w:hint="eastAsia" w:ascii="仿宋_GB2312" w:hAnsi="仿宋" w:eastAsia="仿宋_GB2312"/>
          <w:caps/>
        </w:rPr>
        <w:t>服务供应商的管理必须以书面形式呈现，确定质量政策，并命名质量联系人及其代理人，负责：</w:t>
      </w:r>
    </w:p>
    <w:p>
      <w:pPr>
        <w:numPr>
          <w:ilvl w:val="0"/>
          <w:numId w:val="10"/>
        </w:numPr>
        <w:spacing w:beforeLines="50"/>
        <w:ind w:right="210" w:rightChars="100"/>
        <w:rPr>
          <w:rFonts w:ascii="仿宋_GB2312" w:hAnsi="仿宋" w:eastAsia="仿宋_GB2312"/>
          <w:caps/>
        </w:rPr>
      </w:pPr>
      <w:r>
        <w:rPr>
          <w:rFonts w:hint="eastAsia" w:ascii="仿宋_GB2312" w:hAnsi="仿宋" w:eastAsia="仿宋_GB2312"/>
          <w:caps/>
        </w:rPr>
        <w:t>立即传送运输过程中所发生的异常情况的有关信息</w:t>
      </w:r>
    </w:p>
    <w:p>
      <w:pPr>
        <w:numPr>
          <w:ilvl w:val="0"/>
          <w:numId w:val="10"/>
        </w:numPr>
        <w:spacing w:beforeLines="50"/>
        <w:ind w:right="210" w:rightChars="100"/>
        <w:rPr>
          <w:rFonts w:ascii="仿宋_GB2312" w:hAnsi="仿宋" w:eastAsia="仿宋_GB2312"/>
          <w:caps/>
        </w:rPr>
      </w:pPr>
      <w:r>
        <w:rPr>
          <w:rFonts w:hint="eastAsia" w:ascii="仿宋_GB2312" w:hAnsi="仿宋" w:eastAsia="仿宋_GB2312"/>
          <w:caps/>
        </w:rPr>
        <w:t>定期对发货情况进行评估，分析交付时间和所记录的异常情况</w:t>
      </w:r>
    </w:p>
    <w:p>
      <w:pPr>
        <w:numPr>
          <w:ilvl w:val="0"/>
          <w:numId w:val="10"/>
        </w:numPr>
        <w:spacing w:beforeLines="50"/>
        <w:ind w:right="210" w:rightChars="100"/>
        <w:rPr>
          <w:rFonts w:ascii="仿宋_GB2312" w:hAnsi="仿宋" w:eastAsia="仿宋_GB2312"/>
          <w:caps/>
        </w:rPr>
      </w:pPr>
      <w:r>
        <w:rPr>
          <w:rFonts w:hint="eastAsia" w:ascii="仿宋_GB2312" w:hAnsi="仿宋" w:eastAsia="仿宋_GB2312"/>
          <w:caps/>
        </w:rPr>
        <w:t>在适当的时候采取纠正措施</w:t>
      </w:r>
    </w:p>
    <w:p>
      <w:pPr>
        <w:numPr>
          <w:ilvl w:val="0"/>
          <w:numId w:val="10"/>
        </w:numPr>
        <w:spacing w:beforeLines="50"/>
        <w:ind w:right="210" w:rightChars="100"/>
        <w:rPr>
          <w:rFonts w:ascii="仿宋_GB2312" w:hAnsi="仿宋" w:eastAsia="仿宋_GB2312"/>
          <w:caps/>
        </w:rPr>
      </w:pPr>
      <w:r>
        <w:rPr>
          <w:rFonts w:hint="eastAsia" w:ascii="仿宋_GB2312" w:hAnsi="仿宋" w:eastAsia="仿宋_GB2312"/>
          <w:caps/>
        </w:rPr>
        <w:t>管理并存储发货相关文件</w:t>
      </w:r>
    </w:p>
    <w:p>
      <w:pPr>
        <w:numPr>
          <w:ilvl w:val="0"/>
          <w:numId w:val="10"/>
        </w:numPr>
        <w:spacing w:beforeLines="50"/>
        <w:ind w:right="210" w:rightChars="100"/>
        <w:rPr>
          <w:rFonts w:ascii="仿宋_GB2312" w:hAnsi="仿宋" w:eastAsia="仿宋_GB2312"/>
          <w:caps/>
        </w:rPr>
      </w:pPr>
      <w:r>
        <w:rPr>
          <w:rFonts w:hint="eastAsia" w:ascii="仿宋_GB2312" w:hAnsi="仿宋" w:eastAsia="仿宋_GB2312"/>
          <w:caps/>
        </w:rPr>
        <w:t>对可能的分包商，建立评估方法</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5. 人员</w:t>
      </w:r>
    </w:p>
    <w:p>
      <w:pPr>
        <w:spacing w:beforeLines="50"/>
        <w:ind w:right="210" w:rightChars="100"/>
        <w:rPr>
          <w:rFonts w:ascii="仿宋_GB2312" w:hAnsi="仿宋" w:eastAsia="仿宋_GB2312"/>
          <w:caps/>
        </w:rPr>
      </w:pPr>
      <w:r>
        <w:rPr>
          <w:rFonts w:hint="eastAsia" w:ascii="仿宋_GB2312" w:hAnsi="仿宋" w:eastAsia="仿宋_GB2312"/>
          <w:caps/>
        </w:rPr>
        <w:t>所有涉及药品运输的人员必须：</w:t>
      </w:r>
    </w:p>
    <w:p>
      <w:pPr>
        <w:numPr>
          <w:ilvl w:val="0"/>
          <w:numId w:val="11"/>
        </w:numPr>
        <w:spacing w:beforeLines="50"/>
        <w:ind w:right="210" w:rightChars="100"/>
        <w:rPr>
          <w:rFonts w:ascii="仿宋_GB2312" w:hAnsi="仿宋" w:eastAsia="仿宋_GB2312"/>
          <w:caps/>
        </w:rPr>
      </w:pPr>
      <w:r>
        <w:rPr>
          <w:rFonts w:hint="eastAsia" w:ascii="仿宋_GB2312" w:hAnsi="仿宋" w:eastAsia="仿宋_GB2312"/>
          <w:caps/>
        </w:rPr>
        <w:t>了解给定药品的固有特性（易碎、敏感、有害、药品类的……）</w:t>
      </w:r>
    </w:p>
    <w:p>
      <w:pPr>
        <w:numPr>
          <w:ilvl w:val="0"/>
          <w:numId w:val="11"/>
        </w:numPr>
        <w:spacing w:beforeLines="50"/>
        <w:ind w:right="210" w:rightChars="100"/>
        <w:rPr>
          <w:rFonts w:ascii="仿宋_GB2312" w:hAnsi="仿宋" w:eastAsia="仿宋_GB2312"/>
          <w:caps/>
        </w:rPr>
      </w:pPr>
      <w:r>
        <w:rPr>
          <w:rFonts w:hint="eastAsia" w:ascii="仿宋_GB2312" w:hAnsi="仿宋" w:eastAsia="仿宋_GB2312"/>
          <w:caps/>
        </w:rPr>
        <w:t>遵守卫生行为的基本准则</w:t>
      </w:r>
    </w:p>
    <w:p>
      <w:pPr>
        <w:numPr>
          <w:ilvl w:val="0"/>
          <w:numId w:val="11"/>
        </w:numPr>
        <w:spacing w:beforeLines="50"/>
        <w:ind w:right="210" w:rightChars="100"/>
        <w:rPr>
          <w:rFonts w:ascii="仿宋_GB2312" w:hAnsi="仿宋" w:eastAsia="仿宋_GB2312"/>
          <w:caps/>
        </w:rPr>
      </w:pPr>
      <w:r>
        <w:rPr>
          <w:rFonts w:hint="eastAsia" w:ascii="仿宋_GB2312" w:hAnsi="仿宋" w:eastAsia="仿宋_GB2312"/>
          <w:caps/>
        </w:rPr>
        <w:t>知道避免货物盗窃可采取的所有预防措施，以及如果发生盗窃应采取的行动</w:t>
      </w:r>
    </w:p>
    <w:p>
      <w:pPr>
        <w:numPr>
          <w:ilvl w:val="0"/>
          <w:numId w:val="11"/>
        </w:numPr>
        <w:spacing w:beforeLines="50"/>
        <w:ind w:right="210" w:rightChars="100"/>
        <w:rPr>
          <w:rFonts w:ascii="仿宋_GB2312" w:hAnsi="仿宋" w:eastAsia="仿宋_GB2312"/>
          <w:caps/>
        </w:rPr>
      </w:pPr>
      <w:r>
        <w:rPr>
          <w:rFonts w:hint="eastAsia" w:ascii="仿宋_GB2312" w:hAnsi="仿宋" w:eastAsia="仿宋_GB2312"/>
          <w:caps/>
        </w:rPr>
        <w:t>接受培训，以正确进行所需操作</w:t>
      </w:r>
    </w:p>
    <w:p>
      <w:pPr>
        <w:numPr>
          <w:ilvl w:val="0"/>
          <w:numId w:val="11"/>
        </w:numPr>
        <w:spacing w:beforeLines="50"/>
        <w:ind w:right="210" w:rightChars="100"/>
        <w:rPr>
          <w:rFonts w:ascii="仿宋_GB2312" w:hAnsi="仿宋" w:eastAsia="仿宋_GB2312"/>
          <w:caps/>
        </w:rPr>
      </w:pPr>
      <w:r>
        <w:rPr>
          <w:rFonts w:hint="eastAsia" w:ascii="仿宋_GB2312" w:hAnsi="仿宋" w:eastAsia="仿宋_GB2312"/>
          <w:caps/>
        </w:rPr>
        <w:t>了解并遵守安全规则。</w:t>
      </w:r>
    </w:p>
    <w:p>
      <w:pPr>
        <w:spacing w:beforeLines="50"/>
        <w:ind w:right="210" w:rightChars="100"/>
        <w:rPr>
          <w:rFonts w:ascii="仿宋_GB2312" w:hAnsi="仿宋" w:eastAsia="仿宋_GB2312"/>
          <w:caps/>
        </w:rPr>
      </w:pPr>
      <w:r>
        <w:rPr>
          <w:rFonts w:hint="eastAsia" w:ascii="仿宋_GB2312" w:hAnsi="仿宋" w:eastAsia="仿宋_GB2312"/>
          <w:caps/>
        </w:rPr>
        <w:t>必须有足够数量的人员可用，以确保操作正常进行。如果存在临时工作人员，他们必须接受与正式员工相同的关于药品特性的信息/培训。</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6. 中转库房</w:t>
      </w:r>
    </w:p>
    <w:p>
      <w:pPr>
        <w:spacing w:beforeLines="50"/>
        <w:ind w:right="210" w:rightChars="100"/>
        <w:rPr>
          <w:rFonts w:ascii="仿宋_GB2312" w:hAnsi="仿宋" w:eastAsia="仿宋_GB2312"/>
          <w:caps/>
        </w:rPr>
      </w:pPr>
      <w:r>
        <w:rPr>
          <w:rFonts w:hint="eastAsia" w:ascii="仿宋_GB2312" w:hAnsi="仿宋" w:eastAsia="仿宋_GB2312"/>
          <w:caps/>
        </w:rPr>
        <w:t>虽然我们的药品仅暂时储存在服务受托方库房，但是这些库房必须</w:t>
      </w:r>
    </w:p>
    <w:p>
      <w:pPr>
        <w:numPr>
          <w:ilvl w:val="0"/>
          <w:numId w:val="12"/>
        </w:numPr>
        <w:spacing w:beforeLines="50"/>
        <w:ind w:right="210" w:rightChars="100"/>
        <w:rPr>
          <w:rFonts w:ascii="仿宋_GB2312" w:hAnsi="仿宋" w:eastAsia="仿宋_GB2312"/>
          <w:caps/>
        </w:rPr>
      </w:pPr>
      <w:r>
        <w:rPr>
          <w:rFonts w:hint="eastAsia" w:ascii="仿宋_GB2312" w:hAnsi="仿宋" w:eastAsia="仿宋_GB2312"/>
          <w:caps/>
        </w:rPr>
        <w:t>安全，有管控措施及访问限制；</w:t>
      </w:r>
    </w:p>
    <w:p>
      <w:pPr>
        <w:numPr>
          <w:ilvl w:val="0"/>
          <w:numId w:val="12"/>
        </w:numPr>
        <w:spacing w:beforeLines="50"/>
        <w:ind w:right="210" w:rightChars="100"/>
        <w:rPr>
          <w:rFonts w:ascii="仿宋_GB2312" w:hAnsi="仿宋" w:eastAsia="仿宋_GB2312"/>
          <w:caps/>
        </w:rPr>
      </w:pPr>
      <w:r>
        <w:rPr>
          <w:rFonts w:hint="eastAsia" w:ascii="仿宋_GB2312" w:hAnsi="仿宋" w:eastAsia="仿宋_GB2312"/>
          <w:caps/>
        </w:rPr>
        <w:t>清洁：建立有清洁和虫害控制的书面规程；</w:t>
      </w:r>
    </w:p>
    <w:p>
      <w:pPr>
        <w:numPr>
          <w:ilvl w:val="0"/>
          <w:numId w:val="12"/>
        </w:numPr>
        <w:spacing w:beforeLines="50"/>
        <w:ind w:right="210" w:rightChars="100"/>
        <w:rPr>
          <w:rFonts w:ascii="仿宋_GB2312" w:hAnsi="仿宋" w:eastAsia="仿宋_GB2312"/>
          <w:caps/>
        </w:rPr>
      </w:pPr>
      <w:r>
        <w:rPr>
          <w:rFonts w:hint="eastAsia" w:ascii="仿宋_GB2312" w:hAnsi="仿宋" w:eastAsia="仿宋_GB2312"/>
          <w:caps/>
        </w:rPr>
        <w:t>防止恶劣天气的损害，以避免药品变质；</w:t>
      </w:r>
    </w:p>
    <w:p>
      <w:pPr>
        <w:numPr>
          <w:ilvl w:val="0"/>
          <w:numId w:val="12"/>
        </w:numPr>
        <w:spacing w:beforeLines="50"/>
        <w:ind w:right="210" w:rightChars="100"/>
        <w:rPr>
          <w:rFonts w:ascii="仿宋_GB2312" w:hAnsi="仿宋" w:eastAsia="仿宋_GB2312"/>
          <w:caps/>
        </w:rPr>
      </w:pPr>
      <w:r>
        <w:rPr>
          <w:rFonts w:hint="eastAsia" w:ascii="仿宋_GB2312" w:hAnsi="仿宋" w:eastAsia="仿宋_GB2312"/>
          <w:caps/>
        </w:rPr>
        <w:t>具有明确规定的物料流向。</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7. 运输服务</w:t>
      </w:r>
    </w:p>
    <w:p>
      <w:pPr>
        <w:spacing w:beforeLines="50"/>
        <w:ind w:right="210" w:rightChars="100"/>
        <w:rPr>
          <w:rFonts w:ascii="仿宋_GB2312" w:hAnsi="仿宋" w:eastAsia="仿宋_GB2312"/>
          <w:caps/>
        </w:rPr>
      </w:pPr>
      <w:r>
        <w:rPr>
          <w:rFonts w:hint="eastAsia" w:ascii="仿宋_GB2312" w:hAnsi="仿宋" w:eastAsia="仿宋_GB2312"/>
          <w:caps/>
        </w:rPr>
        <w:t>药品的运输需要高质量水平：货物必须安全地储存、运输和交付，以便药品质量不会受到损害。</w:t>
      </w:r>
    </w:p>
    <w:p>
      <w:pPr>
        <w:spacing w:beforeLines="50"/>
        <w:ind w:right="210" w:rightChars="100"/>
        <w:rPr>
          <w:rFonts w:ascii="仿宋_GB2312" w:hAnsi="仿宋" w:eastAsia="仿宋_GB2312"/>
          <w:caps/>
        </w:rPr>
      </w:pPr>
      <w:r>
        <w:rPr>
          <w:rFonts w:hint="eastAsia" w:ascii="仿宋_GB2312" w:hAnsi="仿宋" w:eastAsia="仿宋_GB2312"/>
          <w:caps/>
        </w:rPr>
        <w:t>服务受托方必须：</w:t>
      </w:r>
    </w:p>
    <w:p>
      <w:pPr>
        <w:numPr>
          <w:ilvl w:val="0"/>
          <w:numId w:val="13"/>
        </w:numPr>
        <w:spacing w:beforeLines="50"/>
        <w:ind w:right="210" w:rightChars="100"/>
        <w:rPr>
          <w:rFonts w:ascii="仿宋_GB2312" w:hAnsi="仿宋" w:eastAsia="仿宋_GB2312"/>
          <w:caps/>
        </w:rPr>
      </w:pPr>
      <w:r>
        <w:rPr>
          <w:rFonts w:hint="eastAsia" w:ascii="仿宋_GB2312" w:hAnsi="仿宋" w:eastAsia="仿宋_GB2312"/>
          <w:caps/>
        </w:rPr>
        <w:t>遵守货物在所有情况下的不可侵犯，以及当表明须用缠绕膜包裹托盘的形式交付给收货人时，该状态的不可侵犯；</w:t>
      </w:r>
    </w:p>
    <w:p>
      <w:pPr>
        <w:numPr>
          <w:ilvl w:val="0"/>
          <w:numId w:val="13"/>
        </w:numPr>
        <w:spacing w:beforeLines="50"/>
        <w:ind w:right="210" w:rightChars="100"/>
        <w:rPr>
          <w:rFonts w:ascii="仿宋_GB2312" w:hAnsi="仿宋" w:eastAsia="仿宋_GB2312"/>
          <w:caps/>
        </w:rPr>
      </w:pPr>
      <w:r>
        <w:rPr>
          <w:rFonts w:hint="eastAsia" w:ascii="仿宋_GB2312" w:hAnsi="仿宋" w:eastAsia="仿宋_GB2312"/>
          <w:caps/>
        </w:rPr>
        <w:t>谨慎处理货物和托盘，因为一些药品是易碎的，尤其须确保装载过程中受到良好保护，以避免箱子或托盘在开门、交付时掉落；</w:t>
      </w:r>
    </w:p>
    <w:p>
      <w:pPr>
        <w:numPr>
          <w:ilvl w:val="0"/>
          <w:numId w:val="13"/>
        </w:numPr>
        <w:spacing w:beforeLines="50"/>
        <w:ind w:right="210" w:rightChars="100"/>
        <w:rPr>
          <w:rFonts w:ascii="仿宋_GB2312" w:hAnsi="仿宋" w:eastAsia="仿宋_GB2312"/>
          <w:caps/>
        </w:rPr>
      </w:pPr>
      <w:r>
        <w:rPr>
          <w:rFonts w:hint="eastAsia" w:ascii="仿宋_GB2312" w:hAnsi="仿宋" w:eastAsia="仿宋_GB2312"/>
          <w:caps/>
        </w:rPr>
        <w:t>需要时，遵守所标明的运输条件（冷链，特殊药品的储运规定……）</w:t>
      </w:r>
    </w:p>
    <w:p>
      <w:pPr>
        <w:numPr>
          <w:ilvl w:val="0"/>
          <w:numId w:val="13"/>
        </w:numPr>
        <w:spacing w:beforeLines="50"/>
        <w:ind w:right="210" w:rightChars="100"/>
        <w:rPr>
          <w:rFonts w:ascii="仿宋_GB2312" w:hAnsi="仿宋" w:eastAsia="仿宋_GB2312"/>
          <w:caps/>
        </w:rPr>
      </w:pPr>
      <w:r>
        <w:rPr>
          <w:rFonts w:hint="eastAsia" w:ascii="仿宋_GB2312" w:hAnsi="仿宋" w:eastAsia="仿宋_GB2312"/>
          <w:caps/>
        </w:rPr>
        <w:t>必须实施防护措施，以避免腐坏或暴露于苛刻条件（例如，热，冷，湿度），以及预防废弃物、灰尘和害虫；</w:t>
      </w:r>
    </w:p>
    <w:p>
      <w:pPr>
        <w:numPr>
          <w:ilvl w:val="0"/>
          <w:numId w:val="13"/>
        </w:numPr>
        <w:spacing w:beforeLines="50"/>
        <w:ind w:right="210" w:rightChars="100"/>
        <w:rPr>
          <w:rFonts w:ascii="仿宋_GB2312" w:hAnsi="仿宋" w:eastAsia="仿宋_GB2312"/>
          <w:caps/>
        </w:rPr>
      </w:pPr>
      <w:r>
        <w:rPr>
          <w:rFonts w:hint="eastAsia" w:ascii="仿宋_GB2312" w:hAnsi="仿宋" w:eastAsia="仿宋_GB2312"/>
          <w:caps/>
        </w:rPr>
        <w:t>采取一切必要措施，以避免药物被窃：（车辆和挂车上锁、安全停车……）</w:t>
      </w:r>
    </w:p>
    <w:p>
      <w:pPr>
        <w:numPr>
          <w:ilvl w:val="0"/>
          <w:numId w:val="13"/>
        </w:numPr>
        <w:spacing w:beforeLines="50"/>
        <w:ind w:right="210" w:rightChars="100"/>
        <w:rPr>
          <w:rFonts w:ascii="仿宋_GB2312" w:hAnsi="仿宋" w:eastAsia="仿宋_GB2312"/>
          <w:caps/>
        </w:rPr>
      </w:pPr>
      <w:r>
        <w:rPr>
          <w:rFonts w:hint="eastAsia" w:ascii="仿宋_GB2312" w:hAnsi="仿宋" w:eastAsia="仿宋_GB2312"/>
          <w:caps/>
        </w:rPr>
        <w:t>如果发生盗窃，立即通知甲方客服中心，以便可以尽快通知有关当局；</w:t>
      </w:r>
    </w:p>
    <w:p>
      <w:pPr>
        <w:numPr>
          <w:ilvl w:val="0"/>
          <w:numId w:val="13"/>
        </w:numPr>
        <w:spacing w:beforeLines="50"/>
        <w:ind w:right="210" w:rightChars="100"/>
        <w:rPr>
          <w:rFonts w:ascii="仿宋_GB2312" w:hAnsi="仿宋" w:eastAsia="仿宋_GB2312"/>
          <w:caps/>
        </w:rPr>
      </w:pPr>
      <w:r>
        <w:rPr>
          <w:rFonts w:hint="eastAsia" w:ascii="仿宋_GB2312" w:hAnsi="仿宋" w:eastAsia="仿宋_GB2312"/>
          <w:caps/>
        </w:rPr>
        <w:t>服务供应商必须在运输过程中保持发货方和收货方的标识；</w:t>
      </w:r>
    </w:p>
    <w:p>
      <w:pPr>
        <w:spacing w:beforeLines="50"/>
        <w:ind w:right="210" w:rightChars="100"/>
        <w:rPr>
          <w:rFonts w:ascii="仿宋_GB2312" w:hAnsi="仿宋" w:eastAsia="仿宋_GB2312"/>
          <w:caps/>
        </w:rPr>
      </w:pPr>
      <w:r>
        <w:rPr>
          <w:rFonts w:hint="eastAsia" w:ascii="仿宋_GB2312" w:hAnsi="仿宋" w:eastAsia="仿宋_GB2312"/>
          <w:caps/>
        </w:rPr>
        <w:t>对于道路运输，在必要情况下，对运输期间损坏或收货人拒收的任何货物，采取充足防护性包装后方可系统性退回。</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8. 运输车辆</w:t>
      </w:r>
    </w:p>
    <w:p>
      <w:pPr>
        <w:spacing w:beforeLines="50"/>
        <w:ind w:right="210" w:rightChars="100"/>
        <w:rPr>
          <w:rFonts w:ascii="仿宋_GB2312" w:hAnsi="仿宋" w:eastAsia="仿宋_GB2312"/>
          <w:caps/>
        </w:rPr>
      </w:pPr>
      <w:r>
        <w:rPr>
          <w:rFonts w:hint="eastAsia" w:ascii="仿宋_GB2312" w:hAnsi="仿宋" w:eastAsia="仿宋_GB2312"/>
          <w:caps/>
        </w:rPr>
        <w:t>服务供应商必须确保：</w:t>
      </w:r>
    </w:p>
    <w:p>
      <w:pPr>
        <w:numPr>
          <w:ilvl w:val="0"/>
          <w:numId w:val="14"/>
        </w:numPr>
        <w:spacing w:beforeLines="50"/>
        <w:ind w:right="210" w:rightChars="100"/>
        <w:rPr>
          <w:rFonts w:ascii="仿宋_GB2312" w:hAnsi="仿宋" w:eastAsia="仿宋_GB2312"/>
          <w:caps/>
        </w:rPr>
      </w:pPr>
      <w:r>
        <w:rPr>
          <w:rFonts w:hint="eastAsia" w:ascii="仿宋_GB2312" w:hAnsi="仿宋" w:eastAsia="仿宋_GB2312"/>
          <w:caps/>
        </w:rPr>
        <w:t>所用设备必须确保运输绝对安全；</w:t>
      </w:r>
    </w:p>
    <w:p>
      <w:pPr>
        <w:numPr>
          <w:ilvl w:val="0"/>
          <w:numId w:val="14"/>
        </w:numPr>
        <w:spacing w:beforeLines="50"/>
        <w:ind w:right="210" w:rightChars="100"/>
        <w:rPr>
          <w:rFonts w:ascii="仿宋_GB2312" w:hAnsi="仿宋" w:eastAsia="仿宋_GB2312"/>
          <w:caps/>
        </w:rPr>
      </w:pPr>
      <w:r>
        <w:rPr>
          <w:rFonts w:hint="eastAsia" w:ascii="仿宋_GB2312" w:hAnsi="仿宋" w:eastAsia="仿宋_GB2312"/>
          <w:caps/>
        </w:rPr>
        <w:t>接驳服务所用的卡车和挂车或其他车辆必须处于良好的状态，能够有效保护药品不发生破损或被盗，并且不受恶劣天气和温度突然变化的影响；</w:t>
      </w:r>
    </w:p>
    <w:p>
      <w:pPr>
        <w:numPr>
          <w:ilvl w:val="0"/>
          <w:numId w:val="14"/>
        </w:numPr>
        <w:spacing w:beforeLines="50"/>
        <w:ind w:right="210" w:rightChars="100"/>
        <w:rPr>
          <w:rFonts w:ascii="仿宋_GB2312" w:hAnsi="仿宋" w:eastAsia="仿宋_GB2312"/>
          <w:caps/>
        </w:rPr>
      </w:pPr>
      <w:r>
        <w:rPr>
          <w:rFonts w:hint="eastAsia" w:ascii="仿宋_GB2312" w:hAnsi="仿宋" w:eastAsia="仿宋_GB2312"/>
          <w:caps/>
        </w:rPr>
        <w:t>书面清洁程序、清洁计划和后续程序必须到位，以确保保持清洁；</w:t>
      </w:r>
    </w:p>
    <w:p>
      <w:pPr>
        <w:numPr>
          <w:ilvl w:val="0"/>
          <w:numId w:val="14"/>
        </w:numPr>
        <w:spacing w:beforeLines="50"/>
        <w:ind w:right="210" w:rightChars="100"/>
        <w:rPr>
          <w:rFonts w:ascii="仿宋_GB2312" w:hAnsi="仿宋" w:eastAsia="仿宋_GB2312"/>
          <w:caps/>
        </w:rPr>
      </w:pPr>
      <w:r>
        <w:rPr>
          <w:rFonts w:hint="eastAsia" w:ascii="仿宋_GB2312" w:hAnsi="仿宋" w:eastAsia="仿宋_GB2312"/>
          <w:caps/>
        </w:rPr>
        <w:t>禁止与可能改变所运输药品的其他货物（例如，新鲜食物，如鱼、肉、奶酪）一起装载；</w:t>
      </w:r>
    </w:p>
    <w:p>
      <w:pPr>
        <w:numPr>
          <w:ilvl w:val="0"/>
          <w:numId w:val="14"/>
        </w:numPr>
        <w:spacing w:beforeLines="50"/>
        <w:ind w:right="210" w:rightChars="100"/>
        <w:rPr>
          <w:rFonts w:ascii="仿宋_GB2312" w:hAnsi="仿宋" w:eastAsia="仿宋_GB2312"/>
          <w:caps/>
        </w:rPr>
      </w:pPr>
      <w:r>
        <w:rPr>
          <w:rFonts w:hint="eastAsia" w:ascii="仿宋_GB2312" w:hAnsi="仿宋" w:eastAsia="仿宋_GB2312"/>
          <w:caps/>
        </w:rPr>
        <w:t>车辆和集装箱应清洁且无异味；</w:t>
      </w:r>
    </w:p>
    <w:p>
      <w:pPr>
        <w:numPr>
          <w:ilvl w:val="0"/>
          <w:numId w:val="14"/>
        </w:numPr>
        <w:spacing w:beforeLines="50"/>
        <w:ind w:right="210" w:rightChars="100"/>
        <w:rPr>
          <w:rFonts w:ascii="仿宋_GB2312" w:hAnsi="仿宋" w:eastAsia="仿宋_GB2312"/>
          <w:caps/>
        </w:rPr>
      </w:pPr>
      <w:r>
        <w:rPr>
          <w:rFonts w:hint="eastAsia" w:ascii="仿宋_GB2312" w:hAnsi="仿宋" w:eastAsia="仿宋_GB2312"/>
          <w:caps/>
        </w:rPr>
        <w:t>车辆应带锁并可密封；</w:t>
      </w:r>
    </w:p>
    <w:p>
      <w:pPr>
        <w:numPr>
          <w:ilvl w:val="0"/>
          <w:numId w:val="14"/>
        </w:numPr>
        <w:spacing w:beforeLines="50"/>
        <w:ind w:right="210" w:rightChars="100"/>
        <w:rPr>
          <w:rFonts w:ascii="仿宋_GB2312" w:hAnsi="仿宋" w:eastAsia="仿宋_GB2312"/>
          <w:caps/>
        </w:rPr>
      </w:pPr>
      <w:r>
        <w:rPr>
          <w:rFonts w:hint="eastAsia" w:ascii="仿宋_GB2312" w:hAnsi="仿宋" w:eastAsia="仿宋_GB2312"/>
          <w:caps/>
        </w:rPr>
        <w:t>车辆的车壁、地板、车顶、车门和恶劣天气防护装置应处于良好的状态；</w:t>
      </w:r>
    </w:p>
    <w:p>
      <w:pPr>
        <w:numPr>
          <w:ilvl w:val="0"/>
          <w:numId w:val="14"/>
        </w:numPr>
        <w:spacing w:beforeLines="50"/>
        <w:ind w:right="210" w:rightChars="100"/>
        <w:rPr>
          <w:rFonts w:ascii="仿宋_GB2312" w:hAnsi="仿宋" w:eastAsia="仿宋_GB2312"/>
          <w:caps/>
        </w:rPr>
      </w:pPr>
      <w:r>
        <w:rPr>
          <w:rFonts w:hint="eastAsia" w:ascii="仿宋_GB2312" w:hAnsi="仿宋" w:eastAsia="仿宋_GB2312"/>
          <w:caps/>
        </w:rPr>
        <w:t>对于温度调控卡车/挂车/活动集装箱，必须全程保持所要求的设定温度状态；</w:t>
      </w:r>
    </w:p>
    <w:p>
      <w:pPr>
        <w:numPr>
          <w:ilvl w:val="0"/>
          <w:numId w:val="14"/>
        </w:numPr>
        <w:spacing w:beforeLines="50"/>
        <w:ind w:right="210" w:rightChars="100"/>
        <w:rPr>
          <w:rFonts w:ascii="仿宋_GB2312" w:hAnsi="仿宋" w:eastAsia="仿宋_GB2312"/>
          <w:caps/>
        </w:rPr>
      </w:pPr>
      <w:r>
        <w:rPr>
          <w:rFonts w:hint="eastAsia" w:ascii="仿宋_GB2312" w:hAnsi="仿宋" w:eastAsia="仿宋_GB2312"/>
          <w:caps/>
        </w:rPr>
        <w:t>车辆应符合运输单所提出的要求。</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9. 服务执行</w:t>
      </w:r>
    </w:p>
    <w:p>
      <w:pPr>
        <w:spacing w:beforeLines="50"/>
        <w:ind w:right="210" w:rightChars="100"/>
        <w:rPr>
          <w:rFonts w:ascii="仿宋_GB2312" w:hAnsi="仿宋" w:eastAsia="仿宋_GB2312"/>
          <w:caps/>
        </w:rPr>
      </w:pPr>
      <w:r>
        <w:rPr>
          <w:rFonts w:hint="eastAsia" w:ascii="仿宋_GB2312" w:hAnsi="仿宋" w:eastAsia="仿宋_GB2312"/>
          <w:caps/>
        </w:rPr>
        <w:t>对于考虑到的每种类型服务，服务供应商必须能够：</w:t>
      </w:r>
    </w:p>
    <w:p>
      <w:pPr>
        <w:numPr>
          <w:ilvl w:val="0"/>
          <w:numId w:val="15"/>
        </w:numPr>
        <w:spacing w:beforeLines="50"/>
        <w:ind w:right="210" w:rightChars="100"/>
        <w:rPr>
          <w:rFonts w:ascii="仿宋_GB2312" w:hAnsi="仿宋" w:eastAsia="仿宋_GB2312"/>
          <w:caps/>
        </w:rPr>
      </w:pPr>
      <w:r>
        <w:rPr>
          <w:rFonts w:hint="eastAsia" w:ascii="仿宋_GB2312" w:hAnsi="仿宋" w:eastAsia="仿宋_GB2312"/>
          <w:caps/>
        </w:rPr>
        <w:t>建立运输计划，描述运输线路，包括分包商的使用</w:t>
      </w:r>
    </w:p>
    <w:p>
      <w:pPr>
        <w:numPr>
          <w:ilvl w:val="0"/>
          <w:numId w:val="15"/>
        </w:numPr>
        <w:spacing w:beforeLines="50"/>
        <w:ind w:right="210" w:rightChars="100"/>
        <w:rPr>
          <w:rFonts w:ascii="仿宋_GB2312" w:hAnsi="仿宋" w:eastAsia="仿宋_GB2312"/>
          <w:caps/>
        </w:rPr>
      </w:pPr>
      <w:r>
        <w:rPr>
          <w:rFonts w:hint="eastAsia" w:ascii="仿宋_GB2312" w:hAnsi="仿宋" w:eastAsia="仿宋_GB2312"/>
          <w:caps/>
        </w:rPr>
        <w:t>确保随时追踪运输情况：</w:t>
      </w:r>
    </w:p>
    <w:p>
      <w:pPr>
        <w:numPr>
          <w:ilvl w:val="0"/>
          <w:numId w:val="15"/>
        </w:numPr>
        <w:spacing w:beforeLines="50"/>
        <w:ind w:right="210" w:rightChars="100"/>
        <w:rPr>
          <w:rFonts w:ascii="仿宋_GB2312" w:hAnsi="仿宋" w:eastAsia="仿宋_GB2312"/>
          <w:caps/>
        </w:rPr>
      </w:pPr>
      <w:r>
        <w:rPr>
          <w:rFonts w:hint="eastAsia" w:ascii="仿宋_GB2312" w:hAnsi="仿宋" w:eastAsia="仿宋_GB2312"/>
          <w:caps/>
        </w:rPr>
        <w:t>发货收集；</w:t>
      </w:r>
    </w:p>
    <w:p>
      <w:pPr>
        <w:numPr>
          <w:ilvl w:val="0"/>
          <w:numId w:val="15"/>
        </w:numPr>
        <w:spacing w:beforeLines="50"/>
        <w:ind w:right="210" w:rightChars="100"/>
        <w:rPr>
          <w:rFonts w:ascii="仿宋_GB2312" w:hAnsi="仿宋" w:eastAsia="仿宋_GB2312"/>
          <w:caps/>
        </w:rPr>
      </w:pPr>
      <w:r>
        <w:rPr>
          <w:rFonts w:hint="eastAsia" w:ascii="仿宋_GB2312" w:hAnsi="仿宋" w:eastAsia="仿宋_GB2312"/>
          <w:caps/>
        </w:rPr>
        <w:t>发货方和收货方之间的运输路线；</w:t>
      </w:r>
    </w:p>
    <w:p>
      <w:pPr>
        <w:numPr>
          <w:ilvl w:val="0"/>
          <w:numId w:val="15"/>
        </w:numPr>
        <w:spacing w:beforeLines="50"/>
        <w:ind w:right="210" w:rightChars="100"/>
        <w:rPr>
          <w:rFonts w:ascii="仿宋_GB2312" w:hAnsi="仿宋" w:eastAsia="仿宋_GB2312"/>
          <w:caps/>
        </w:rPr>
      </w:pPr>
      <w:r>
        <w:rPr>
          <w:rFonts w:hint="eastAsia" w:ascii="仿宋_GB2312" w:hAnsi="仿宋" w:eastAsia="仿宋_GB2312"/>
          <w:caps/>
        </w:rPr>
        <w:t>服务供应商必须确保服务供应商办事处或代理人和收货方之间的无缝信息沟通；</w:t>
      </w:r>
    </w:p>
    <w:p>
      <w:pPr>
        <w:numPr>
          <w:ilvl w:val="0"/>
          <w:numId w:val="15"/>
        </w:numPr>
        <w:spacing w:beforeLines="50"/>
        <w:ind w:right="210" w:rightChars="100"/>
        <w:rPr>
          <w:rFonts w:ascii="仿宋_GB2312" w:hAnsi="仿宋" w:eastAsia="仿宋_GB2312"/>
          <w:caps/>
        </w:rPr>
      </w:pPr>
      <w:r>
        <w:rPr>
          <w:rFonts w:hint="eastAsia" w:ascii="仿宋_GB2312" w:hAnsi="仿宋" w:eastAsia="仿宋_GB2312"/>
          <w:caps/>
        </w:rPr>
        <w:t>在收货方的正常工作时间期间交付给合同委托方所指定的收货方；</w:t>
      </w:r>
    </w:p>
    <w:p>
      <w:pPr>
        <w:numPr>
          <w:ilvl w:val="0"/>
          <w:numId w:val="15"/>
        </w:numPr>
        <w:spacing w:beforeLines="50"/>
        <w:ind w:right="210" w:rightChars="100"/>
        <w:rPr>
          <w:rFonts w:ascii="仿宋_GB2312" w:hAnsi="仿宋" w:eastAsia="仿宋_GB2312"/>
          <w:caps/>
        </w:rPr>
      </w:pPr>
      <w:r>
        <w:rPr>
          <w:rFonts w:hint="eastAsia" w:ascii="仿宋_GB2312" w:hAnsi="仿宋" w:eastAsia="仿宋_GB2312"/>
          <w:caps/>
        </w:rPr>
        <w:t>服务供应商负责维护确认的出发、抵达和中转时间；</w:t>
      </w:r>
    </w:p>
    <w:p>
      <w:pPr>
        <w:numPr>
          <w:ilvl w:val="0"/>
          <w:numId w:val="15"/>
        </w:numPr>
        <w:spacing w:beforeLines="50"/>
        <w:ind w:right="210" w:rightChars="100"/>
        <w:rPr>
          <w:rFonts w:ascii="仿宋_GB2312" w:hAnsi="仿宋" w:eastAsia="仿宋_GB2312"/>
          <w:caps/>
        </w:rPr>
      </w:pPr>
      <w:r>
        <w:rPr>
          <w:rFonts w:hint="eastAsia" w:ascii="仿宋_GB2312" w:hAnsi="仿宋" w:eastAsia="仿宋_GB2312"/>
          <w:caps/>
        </w:rPr>
        <w:t>如果发生延误，服务供应商必须立即将原因和估计抵达时间传达给合同委托方。</w:t>
      </w:r>
    </w:p>
    <w:p>
      <w:pPr>
        <w:numPr>
          <w:ilvl w:val="0"/>
          <w:numId w:val="15"/>
        </w:numPr>
        <w:spacing w:beforeLines="50"/>
        <w:ind w:right="210" w:rightChars="100"/>
        <w:rPr>
          <w:rFonts w:ascii="仿宋_GB2312" w:hAnsi="仿宋" w:eastAsia="仿宋_GB2312"/>
          <w:caps/>
        </w:rPr>
      </w:pPr>
      <w:r>
        <w:rPr>
          <w:rFonts w:hint="eastAsia" w:ascii="仿宋_GB2312" w:hAnsi="仿宋" w:eastAsia="仿宋_GB2312"/>
          <w:caps/>
        </w:rPr>
        <w:t>对于道路运输，则须提供明确各个控制点的跟踪方案：</w:t>
      </w:r>
    </w:p>
    <w:p>
      <w:pPr>
        <w:numPr>
          <w:ilvl w:val="3"/>
          <w:numId w:val="15"/>
        </w:numPr>
        <w:spacing w:beforeLines="50"/>
        <w:ind w:right="210" w:rightChars="100"/>
        <w:rPr>
          <w:rFonts w:ascii="仿宋_GB2312" w:hAnsi="仿宋" w:eastAsia="仿宋_GB2312"/>
          <w:caps/>
        </w:rPr>
      </w:pPr>
      <w:r>
        <w:rPr>
          <w:rFonts w:hint="eastAsia" w:ascii="仿宋_GB2312" w:hAnsi="仿宋" w:eastAsia="仿宋_GB2312"/>
          <w:caps/>
        </w:rPr>
        <w:t>发货收集；</w:t>
      </w:r>
    </w:p>
    <w:p>
      <w:pPr>
        <w:numPr>
          <w:ilvl w:val="3"/>
          <w:numId w:val="15"/>
        </w:numPr>
        <w:spacing w:beforeLines="50"/>
        <w:ind w:right="210" w:rightChars="100"/>
        <w:rPr>
          <w:rFonts w:ascii="仿宋_GB2312" w:hAnsi="仿宋" w:eastAsia="仿宋_GB2312"/>
          <w:caps/>
        </w:rPr>
      </w:pPr>
      <w:r>
        <w:rPr>
          <w:rFonts w:hint="eastAsia" w:ascii="仿宋_GB2312" w:hAnsi="仿宋" w:eastAsia="仿宋_GB2312"/>
          <w:caps/>
        </w:rPr>
        <w:t>在出发地点库房中所进行的操作</w:t>
      </w:r>
    </w:p>
    <w:p>
      <w:pPr>
        <w:numPr>
          <w:ilvl w:val="3"/>
          <w:numId w:val="15"/>
        </w:numPr>
        <w:spacing w:beforeLines="50"/>
        <w:ind w:right="210" w:rightChars="100"/>
        <w:rPr>
          <w:rFonts w:ascii="仿宋_GB2312" w:hAnsi="仿宋" w:eastAsia="仿宋_GB2312"/>
          <w:caps/>
        </w:rPr>
      </w:pPr>
      <w:r>
        <w:rPr>
          <w:rFonts w:hint="eastAsia" w:ascii="仿宋_GB2312" w:hAnsi="仿宋" w:eastAsia="仿宋_GB2312"/>
          <w:caps/>
        </w:rPr>
        <w:t>发货方和收货方之间的运输路线；</w:t>
      </w:r>
    </w:p>
    <w:p>
      <w:pPr>
        <w:numPr>
          <w:ilvl w:val="3"/>
          <w:numId w:val="15"/>
        </w:numPr>
        <w:spacing w:beforeLines="50"/>
        <w:ind w:right="210" w:rightChars="100"/>
        <w:rPr>
          <w:rFonts w:ascii="仿宋_GB2312" w:hAnsi="仿宋" w:eastAsia="仿宋_GB2312"/>
          <w:caps/>
        </w:rPr>
      </w:pPr>
      <w:r>
        <w:rPr>
          <w:rFonts w:hint="eastAsia" w:ascii="仿宋_GB2312" w:hAnsi="仿宋" w:eastAsia="仿宋_GB2312"/>
          <w:caps/>
        </w:rPr>
        <w:t>在收货方的正常工作时间期间交付给合同委托方所指定的收货方；</w:t>
      </w:r>
    </w:p>
    <w:p>
      <w:pPr>
        <w:numPr>
          <w:ilvl w:val="3"/>
          <w:numId w:val="15"/>
        </w:numPr>
        <w:spacing w:beforeLines="50"/>
        <w:ind w:right="210" w:rightChars="100"/>
        <w:rPr>
          <w:rFonts w:ascii="仿宋_GB2312" w:hAnsi="仿宋" w:eastAsia="仿宋_GB2312"/>
          <w:caps/>
        </w:rPr>
      </w:pPr>
      <w:r>
        <w:rPr>
          <w:rFonts w:hint="eastAsia" w:ascii="仿宋_GB2312" w:hAnsi="仿宋" w:eastAsia="仿宋_GB2312"/>
          <w:caps/>
        </w:rPr>
        <w:t>必要时，待退回货物的收集和运输。</w:t>
      </w:r>
    </w:p>
    <w:p>
      <w:pPr>
        <w:spacing w:beforeLines="50"/>
        <w:ind w:right="210" w:rightChars="100"/>
        <w:rPr>
          <w:rFonts w:ascii="仿宋_GB2312" w:hAnsi="仿宋" w:eastAsia="仿宋_GB2312"/>
          <w:caps/>
        </w:rPr>
      </w:pPr>
      <w:r>
        <w:rPr>
          <w:rFonts w:hint="eastAsia" w:ascii="仿宋_GB2312" w:hAnsi="仿宋" w:eastAsia="仿宋_GB2312"/>
          <w:caps/>
        </w:rPr>
        <w:t>必须对每一阶段服务的正确执行建立控制。对于控制的性质以及要求的目标必须要有描述。</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10. 发货跟踪</w:t>
      </w:r>
    </w:p>
    <w:p>
      <w:pPr>
        <w:spacing w:beforeLines="50"/>
        <w:ind w:right="210" w:rightChars="100"/>
        <w:rPr>
          <w:rFonts w:ascii="仿宋_GB2312" w:hAnsi="仿宋" w:eastAsia="仿宋_GB2312"/>
          <w:caps/>
        </w:rPr>
      </w:pPr>
      <w:r>
        <w:rPr>
          <w:rFonts w:hint="eastAsia" w:ascii="仿宋_GB2312" w:hAnsi="仿宋" w:eastAsia="仿宋_GB2312"/>
          <w:caps/>
        </w:rPr>
        <w:t>对运输服务商的控制必须包括跟踪系统，确保每一特定交付所处理的每个货物单位（托盘或货物）具有持续性信息链。</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11. 异常情况（投诉和异常）处理</w:t>
      </w:r>
    </w:p>
    <w:p>
      <w:pPr>
        <w:spacing w:beforeLines="50"/>
        <w:ind w:right="210" w:rightChars="100"/>
        <w:rPr>
          <w:rFonts w:ascii="仿宋_GB2312" w:hAnsi="仿宋" w:eastAsia="仿宋_GB2312"/>
          <w:caps/>
        </w:rPr>
      </w:pPr>
      <w:r>
        <w:rPr>
          <w:rFonts w:hint="eastAsia" w:ascii="仿宋_GB2312" w:hAnsi="仿宋" w:eastAsia="仿宋_GB2312"/>
          <w:caps/>
        </w:rPr>
        <w:t>当发生异常运输情况（例如，延迟，损坏，或丢失）时，必须立即通知合同委托方客服中心。</w:t>
      </w:r>
    </w:p>
    <w:p>
      <w:pPr>
        <w:spacing w:beforeLines="50"/>
        <w:ind w:right="210" w:rightChars="100"/>
        <w:rPr>
          <w:rFonts w:ascii="仿宋_GB2312" w:hAnsi="仿宋" w:eastAsia="仿宋_GB2312"/>
          <w:caps/>
        </w:rPr>
      </w:pPr>
      <w:r>
        <w:rPr>
          <w:rFonts w:hint="eastAsia" w:ascii="仿宋_GB2312" w:hAnsi="仿宋" w:eastAsia="仿宋_GB2312"/>
          <w:caps/>
        </w:rPr>
        <w:t>如果服务供应商直接接收到任何投诉，应立即（最迟不超过24个小时内）通知合同委托方客服中心。</w:t>
      </w:r>
    </w:p>
    <w:p>
      <w:pPr>
        <w:spacing w:beforeLines="50"/>
        <w:ind w:right="210" w:rightChars="100"/>
        <w:rPr>
          <w:rFonts w:ascii="仿宋_GB2312" w:hAnsi="仿宋" w:eastAsia="仿宋_GB2312"/>
          <w:caps/>
        </w:rPr>
      </w:pPr>
      <w:r>
        <w:rPr>
          <w:rFonts w:hint="eastAsia" w:ascii="仿宋_GB2312" w:hAnsi="仿宋" w:eastAsia="仿宋_GB2312"/>
          <w:caps/>
        </w:rPr>
        <w:t>为了处理客户投诉和异常情况，必须建立系统规程。</w:t>
      </w:r>
    </w:p>
    <w:p>
      <w:pPr>
        <w:spacing w:beforeLines="50"/>
        <w:ind w:right="210" w:rightChars="100"/>
        <w:rPr>
          <w:rFonts w:ascii="仿宋_GB2312" w:hAnsi="仿宋" w:eastAsia="仿宋_GB2312"/>
          <w:caps/>
        </w:rPr>
      </w:pPr>
      <w:r>
        <w:rPr>
          <w:rFonts w:hint="eastAsia" w:ascii="仿宋_GB2312" w:hAnsi="仿宋" w:eastAsia="仿宋_GB2312"/>
          <w:caps/>
        </w:rPr>
        <w:t>必须规定向合同委托方进行反馈的方法。</w:t>
      </w:r>
    </w:p>
    <w:p>
      <w:pPr>
        <w:spacing w:beforeLines="50"/>
        <w:ind w:right="210" w:rightChars="100"/>
        <w:rPr>
          <w:rFonts w:ascii="仿宋_GB2312" w:hAnsi="仿宋" w:eastAsia="仿宋_GB2312"/>
          <w:caps/>
        </w:rPr>
      </w:pPr>
      <w:r>
        <w:rPr>
          <w:rFonts w:hint="eastAsia" w:ascii="仿宋_GB2312" w:hAnsi="仿宋" w:eastAsia="仿宋_GB2312"/>
          <w:caps/>
        </w:rPr>
        <w:t>必须记录客户投诉和异常情况，并形成文件。</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12. 交付时间</w:t>
      </w:r>
    </w:p>
    <w:p>
      <w:pPr>
        <w:spacing w:beforeLines="50"/>
        <w:ind w:right="210" w:rightChars="100"/>
        <w:rPr>
          <w:rFonts w:ascii="仿宋_GB2312" w:hAnsi="仿宋" w:eastAsia="仿宋_GB2312"/>
          <w:caps/>
        </w:rPr>
      </w:pPr>
      <w:r>
        <w:rPr>
          <w:rFonts w:hint="eastAsia" w:ascii="仿宋_GB2312" w:hAnsi="仿宋" w:eastAsia="仿宋_GB2312"/>
          <w:caps/>
        </w:rPr>
        <w:t>乙方必须严格遵守运输和交付时间。为此，必须像处理异常情况一样处理任何延迟，并将相关信息提供给合同委托方（参见第 9 节服务执行）。</w:t>
      </w:r>
    </w:p>
    <w:p>
      <w:pPr>
        <w:spacing w:beforeLines="50"/>
        <w:ind w:right="210" w:rightChars="100"/>
        <w:rPr>
          <w:rFonts w:ascii="仿宋_GB2312" w:hAnsi="仿宋" w:eastAsia="仿宋_GB2312"/>
          <w:b/>
          <w:caps/>
        </w:rPr>
      </w:pPr>
    </w:p>
    <w:p>
      <w:pPr>
        <w:spacing w:beforeLines="50"/>
        <w:ind w:right="210" w:rightChars="100"/>
        <w:rPr>
          <w:rFonts w:ascii="仿宋_GB2312" w:hAnsi="仿宋" w:eastAsia="仿宋_GB2312"/>
          <w:b/>
          <w:caps/>
        </w:rPr>
      </w:pPr>
      <w:r>
        <w:rPr>
          <w:rFonts w:hint="eastAsia" w:ascii="仿宋_GB2312" w:hAnsi="仿宋" w:eastAsia="仿宋_GB2312"/>
          <w:b/>
          <w:caps/>
        </w:rPr>
        <w:t>13. 文件管理</w:t>
      </w:r>
    </w:p>
    <w:p>
      <w:pPr>
        <w:spacing w:beforeLines="50"/>
        <w:ind w:right="210" w:rightChars="100"/>
        <w:rPr>
          <w:rFonts w:ascii="仿宋_GB2312" w:hAnsi="仿宋" w:eastAsia="仿宋_GB2312"/>
          <w:caps/>
        </w:rPr>
      </w:pPr>
      <w:r>
        <w:rPr>
          <w:rFonts w:hint="eastAsia" w:ascii="仿宋_GB2312" w:hAnsi="仿宋" w:eastAsia="仿宋_GB2312"/>
          <w:caps/>
        </w:rPr>
        <w:t>必须精确描述服务过程中所出现的各种文件或电子数据流。</w:t>
      </w:r>
    </w:p>
    <w:p>
      <w:pPr>
        <w:spacing w:beforeLines="50"/>
        <w:ind w:right="210" w:rightChars="100"/>
        <w:rPr>
          <w:rFonts w:ascii="仿宋_GB2312" w:hAnsi="仿宋" w:eastAsia="仿宋_GB2312"/>
          <w:caps/>
        </w:rPr>
      </w:pPr>
      <w:r>
        <w:rPr>
          <w:rFonts w:hint="eastAsia" w:ascii="仿宋_GB2312" w:hAnsi="仿宋" w:eastAsia="仿宋_GB2312"/>
          <w:caps/>
        </w:rPr>
        <w:t>服务期间的控制文件必须建档，并保存至法定时间长度（不少于 5 年），并能够应要求及时提供。</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14. 变更控制</w:t>
      </w:r>
    </w:p>
    <w:p>
      <w:pPr>
        <w:spacing w:beforeLines="50"/>
        <w:ind w:right="210" w:rightChars="100"/>
        <w:rPr>
          <w:rFonts w:ascii="仿宋_GB2312" w:hAnsi="仿宋" w:eastAsia="仿宋_GB2312"/>
          <w:caps/>
        </w:rPr>
      </w:pPr>
      <w:r>
        <w:rPr>
          <w:rFonts w:hint="eastAsia" w:ascii="仿宋_GB2312" w:hAnsi="仿宋" w:eastAsia="仿宋_GB2312"/>
          <w:caps/>
        </w:rPr>
        <w:t>必须以书面形式将任何可能对运输质量产生影响的组织变更的相关信息提供给合同委托方。</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15. 质量标准回顾</w:t>
      </w:r>
    </w:p>
    <w:p>
      <w:pPr>
        <w:spacing w:beforeLines="50"/>
        <w:ind w:right="210" w:rightChars="100"/>
        <w:rPr>
          <w:rFonts w:ascii="仿宋_GB2312" w:hAnsi="仿宋" w:eastAsia="仿宋_GB2312"/>
          <w:caps/>
        </w:rPr>
      </w:pPr>
      <w:r>
        <w:rPr>
          <w:rFonts w:hint="eastAsia" w:ascii="仿宋_GB2312" w:hAnsi="仿宋" w:eastAsia="仿宋_GB2312"/>
          <w:caps/>
        </w:rPr>
        <w:t>为了确保本文件中出现的所有要求可以得到满足，服务供应商应在内部针对本文件涉及的运营管理实施实质性的质量回顾。</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16. 分包</w:t>
      </w:r>
    </w:p>
    <w:p>
      <w:pPr>
        <w:spacing w:beforeLines="50"/>
        <w:ind w:right="210" w:rightChars="100"/>
        <w:rPr>
          <w:rFonts w:ascii="仿宋_GB2312" w:hAnsi="仿宋" w:eastAsia="仿宋_GB2312"/>
          <w:caps/>
        </w:rPr>
      </w:pPr>
      <w:r>
        <w:rPr>
          <w:rFonts w:hint="eastAsia" w:ascii="仿宋_GB2312" w:hAnsi="仿宋" w:eastAsia="仿宋_GB2312"/>
          <w:caps/>
        </w:rPr>
        <w:t>如果服务供应商分包全部或者部分运输服务，则必须承担要求分包商遵守本文件的责任。</w:t>
      </w:r>
    </w:p>
    <w:p>
      <w:pPr>
        <w:spacing w:beforeLines="50"/>
        <w:ind w:right="210" w:rightChars="100"/>
        <w:rPr>
          <w:rFonts w:ascii="仿宋_GB2312" w:hAnsi="仿宋" w:eastAsia="仿宋_GB2312"/>
          <w:caps/>
        </w:rPr>
      </w:pPr>
      <w:r>
        <w:rPr>
          <w:rFonts w:hint="eastAsia" w:ascii="仿宋_GB2312" w:hAnsi="仿宋" w:eastAsia="仿宋_GB2312"/>
          <w:caps/>
        </w:rPr>
        <w:t>服务供应商调用分包商时需要参照本文件对分包商进行评估；以确保药品质量和服务质量不会受到分包活动的不良影响，并按照合同委托方的要求提供分包商的名单。 如果这些分包商有任何拟定变更，必须通知合同委托方，并在监管机构要求时给予事先批准。</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17. 质量审计</w:t>
      </w:r>
    </w:p>
    <w:p>
      <w:pPr>
        <w:spacing w:beforeLines="50"/>
        <w:ind w:right="210" w:rightChars="100"/>
        <w:rPr>
          <w:rFonts w:ascii="仿宋_GB2312" w:hAnsi="仿宋" w:eastAsia="仿宋_GB2312"/>
          <w:caps/>
        </w:rPr>
      </w:pPr>
      <w:r>
        <w:rPr>
          <w:rFonts w:hint="eastAsia" w:ascii="仿宋_GB2312" w:hAnsi="仿宋" w:eastAsia="仿宋_GB2312"/>
          <w:caps/>
        </w:rPr>
        <w:t>服务供应商同意接受合同委托方的审计，并参照本质量协议的框架进行审计。</w:t>
      </w:r>
    </w:p>
    <w:p>
      <w:pPr>
        <w:spacing w:beforeLines="50"/>
        <w:ind w:right="210" w:rightChars="100"/>
        <w:rPr>
          <w:rFonts w:ascii="仿宋_GB2312" w:hAnsi="仿宋" w:eastAsia="仿宋_GB2312"/>
          <w:caps/>
        </w:rPr>
      </w:pPr>
      <w:r>
        <w:rPr>
          <w:rFonts w:hint="eastAsia" w:ascii="仿宋_GB2312" w:hAnsi="仿宋" w:eastAsia="仿宋_GB2312"/>
          <w:caps/>
        </w:rPr>
        <w:t>以审计目的，服务供应商应允许合同委托方代表经事先书面通知在合理的时间内访问其库房和相关记录。</w:t>
      </w:r>
    </w:p>
    <w:p>
      <w:pPr>
        <w:spacing w:beforeLines="50"/>
        <w:ind w:right="210" w:rightChars="100"/>
        <w:rPr>
          <w:rFonts w:ascii="仿宋_GB2312" w:hAnsi="仿宋" w:eastAsia="仿宋_GB2312"/>
          <w:caps/>
        </w:rPr>
      </w:pPr>
      <w:r>
        <w:rPr>
          <w:rFonts w:hint="eastAsia" w:ascii="仿宋_GB2312" w:hAnsi="仿宋" w:eastAsia="仿宋_GB2312"/>
          <w:caps/>
        </w:rPr>
        <w:t>如果检测到任何重大质量问题，则应允许合同委托方开展旨在解决这些问题的特殊审计。</w:t>
      </w:r>
    </w:p>
    <w:p>
      <w:pPr>
        <w:spacing w:beforeLines="50"/>
        <w:ind w:right="210" w:rightChars="100"/>
        <w:rPr>
          <w:rFonts w:ascii="仿宋_GB2312" w:hAnsi="仿宋" w:eastAsia="仿宋_GB2312"/>
          <w:caps/>
        </w:rPr>
      </w:pPr>
      <w:r>
        <w:rPr>
          <w:rFonts w:hint="eastAsia" w:ascii="仿宋_GB2312" w:hAnsi="仿宋" w:eastAsia="仿宋_GB2312"/>
          <w:caps/>
        </w:rPr>
        <w:t>合同委托方应遵守服务供应商的制度和规程，以确保任何审计期间服务供应商流程、设施和人员的安全性、机密性和保障性。</w:t>
      </w:r>
    </w:p>
    <w:p>
      <w:pPr>
        <w:spacing w:beforeLines="50"/>
        <w:ind w:right="210" w:rightChars="100"/>
        <w:rPr>
          <w:rFonts w:ascii="仿宋_GB2312" w:hAnsi="仿宋" w:eastAsia="仿宋_GB2312"/>
          <w:caps/>
        </w:rPr>
      </w:pPr>
    </w:p>
    <w:p>
      <w:pPr>
        <w:spacing w:beforeLines="50"/>
        <w:ind w:right="210" w:rightChars="100"/>
        <w:rPr>
          <w:rFonts w:ascii="仿宋_GB2312" w:hAnsi="仿宋" w:eastAsia="仿宋_GB2312"/>
          <w:b/>
          <w:caps/>
        </w:rPr>
      </w:pPr>
      <w:r>
        <w:rPr>
          <w:rFonts w:hint="eastAsia" w:ascii="仿宋_GB2312" w:hAnsi="仿宋" w:eastAsia="仿宋_GB2312"/>
          <w:b/>
          <w:caps/>
        </w:rPr>
        <w:t>18. 控制温度运输</w:t>
      </w:r>
    </w:p>
    <w:p>
      <w:pPr>
        <w:spacing w:beforeLines="50"/>
        <w:ind w:right="210" w:rightChars="100"/>
        <w:rPr>
          <w:rFonts w:ascii="仿宋_GB2312" w:hAnsi="仿宋" w:eastAsia="仿宋_GB2312"/>
          <w:caps/>
        </w:rPr>
      </w:pPr>
      <w:r>
        <w:rPr>
          <w:rFonts w:hint="eastAsia" w:ascii="仿宋_GB2312" w:hAnsi="仿宋" w:eastAsia="仿宋_GB2312"/>
          <w:caps/>
        </w:rPr>
        <w:t>为了保证在合同委托方所委托发货期间维持药品的特殊温度（例如，冷链），服务供应商承诺：</w:t>
      </w:r>
    </w:p>
    <w:p>
      <w:pPr>
        <w:numPr>
          <w:ilvl w:val="0"/>
          <w:numId w:val="16"/>
        </w:numPr>
        <w:spacing w:beforeLines="50"/>
        <w:ind w:right="210" w:rightChars="100"/>
        <w:rPr>
          <w:rFonts w:ascii="仿宋_GB2312" w:hAnsi="仿宋" w:eastAsia="仿宋_GB2312"/>
          <w:caps/>
        </w:rPr>
      </w:pPr>
      <w:r>
        <w:rPr>
          <w:rFonts w:hint="eastAsia" w:ascii="仿宋_GB2312" w:hAnsi="仿宋" w:eastAsia="仿宋_GB2312"/>
          <w:caps/>
        </w:rPr>
        <w:t>采用设计用于保持温度要求的接驳卡车，避免温度超标，即使是有限的超标；</w:t>
      </w:r>
    </w:p>
    <w:p>
      <w:pPr>
        <w:numPr>
          <w:ilvl w:val="0"/>
          <w:numId w:val="16"/>
        </w:numPr>
        <w:spacing w:beforeLines="50"/>
        <w:ind w:right="210" w:rightChars="100"/>
        <w:rPr>
          <w:rFonts w:ascii="仿宋_GB2312" w:hAnsi="仿宋" w:eastAsia="仿宋_GB2312"/>
          <w:caps/>
        </w:rPr>
      </w:pPr>
      <w:r>
        <w:rPr>
          <w:rFonts w:hint="eastAsia" w:ascii="仿宋_GB2312" w:hAnsi="仿宋" w:eastAsia="仿宋_GB2312"/>
          <w:caps/>
        </w:rPr>
        <w:t>实施技术手段以保证在整个运输（包括中转储存）期间保持约定的温度范围。</w:t>
      </w:r>
    </w:p>
    <w:p>
      <w:pPr>
        <w:numPr>
          <w:ilvl w:val="0"/>
          <w:numId w:val="16"/>
        </w:numPr>
        <w:spacing w:beforeLines="50"/>
        <w:ind w:right="210" w:rightChars="100"/>
        <w:rPr>
          <w:rFonts w:ascii="仿宋_GB2312" w:hAnsi="仿宋" w:eastAsia="仿宋_GB2312"/>
          <w:caps/>
        </w:rPr>
      </w:pPr>
      <w:r>
        <w:rPr>
          <w:rFonts w:hint="eastAsia" w:ascii="仿宋_GB2312" w:hAnsi="仿宋" w:eastAsia="仿宋_GB2312"/>
          <w:caps/>
        </w:rPr>
        <w:t>如果可能，使用连续温度调节替代时间间隔调节，以避免大的温度变化；</w:t>
      </w:r>
    </w:p>
    <w:p>
      <w:pPr>
        <w:numPr>
          <w:ilvl w:val="0"/>
          <w:numId w:val="16"/>
        </w:numPr>
        <w:spacing w:beforeLines="50"/>
        <w:ind w:right="210" w:rightChars="100"/>
        <w:rPr>
          <w:rFonts w:ascii="仿宋_GB2312" w:hAnsi="仿宋" w:eastAsia="仿宋_GB2312"/>
          <w:caps/>
        </w:rPr>
      </w:pPr>
      <w:r>
        <w:rPr>
          <w:rFonts w:hint="eastAsia" w:ascii="仿宋_GB2312" w:hAnsi="仿宋" w:eastAsia="仿宋_GB2312"/>
          <w:caps/>
        </w:rPr>
        <w:t>对于温度调节卡车应维持所要求的设定温度，以确认在整个运输期间（从药品收集到交付）始终遵守温度要求。</w:t>
      </w:r>
    </w:p>
    <w:p>
      <w:pPr>
        <w:numPr>
          <w:ilvl w:val="0"/>
          <w:numId w:val="16"/>
        </w:numPr>
        <w:spacing w:beforeLines="50"/>
        <w:ind w:right="210" w:rightChars="100"/>
        <w:rPr>
          <w:rFonts w:ascii="仿宋_GB2312" w:hAnsi="仿宋" w:eastAsia="仿宋_GB2312"/>
          <w:caps/>
        </w:rPr>
      </w:pPr>
      <w:r>
        <w:rPr>
          <w:rFonts w:hint="eastAsia" w:ascii="仿宋_GB2312" w:hAnsi="仿宋" w:eastAsia="仿宋_GB2312"/>
          <w:caps/>
        </w:rPr>
        <w:t>存档运输和储存的温度数据，并能够在合同委托方提出要求后最长不超过72小时提供数据；</w:t>
      </w:r>
    </w:p>
    <w:p>
      <w:pPr>
        <w:numPr>
          <w:ilvl w:val="0"/>
          <w:numId w:val="16"/>
        </w:numPr>
        <w:spacing w:beforeLines="50"/>
        <w:ind w:right="210" w:rightChars="100"/>
        <w:rPr>
          <w:rFonts w:ascii="仿宋_GB2312" w:hAnsi="仿宋" w:eastAsia="仿宋_GB2312"/>
          <w:caps/>
        </w:rPr>
      </w:pPr>
      <w:r>
        <w:rPr>
          <w:rFonts w:hint="eastAsia" w:ascii="仿宋_GB2312" w:hAnsi="仿宋" w:eastAsia="仿宋_GB2312"/>
          <w:caps/>
        </w:rPr>
        <w:t>提供符合所需温度的设备、车辆或库房；</w:t>
      </w:r>
    </w:p>
    <w:p>
      <w:pPr>
        <w:numPr>
          <w:ilvl w:val="0"/>
          <w:numId w:val="16"/>
        </w:numPr>
        <w:spacing w:beforeLines="50"/>
        <w:ind w:right="210" w:rightChars="100"/>
        <w:rPr>
          <w:rFonts w:ascii="仿宋_GB2312" w:hAnsi="仿宋" w:eastAsia="仿宋_GB2312"/>
          <w:caps/>
        </w:rPr>
      </w:pPr>
      <w:r>
        <w:rPr>
          <w:rFonts w:hint="eastAsia" w:ascii="仿宋_GB2312" w:hAnsi="仿宋" w:eastAsia="仿宋_GB2312"/>
          <w:caps/>
        </w:rPr>
        <w:t>如果需要意外停止，将药品存放在符合温度要求的适宜库房中。</w:t>
      </w:r>
    </w:p>
    <w:p>
      <w:pPr>
        <w:numPr>
          <w:ilvl w:val="0"/>
          <w:numId w:val="16"/>
        </w:numPr>
        <w:spacing w:beforeLines="50"/>
        <w:ind w:right="210" w:rightChars="100"/>
        <w:rPr>
          <w:rFonts w:ascii="仿宋_GB2312" w:hAnsi="仿宋" w:eastAsia="仿宋_GB2312"/>
          <w:caps/>
        </w:rPr>
      </w:pPr>
      <w:r>
        <w:rPr>
          <w:rFonts w:hint="eastAsia" w:ascii="仿宋_GB2312" w:hAnsi="仿宋" w:eastAsia="仿宋_GB2312"/>
          <w:caps/>
        </w:rPr>
        <w:t>如果无法保持所需温度，立即通知合同委托方。</w:t>
      </w:r>
    </w:p>
    <w:p>
      <w:pPr>
        <w:spacing w:beforeLines="50" w:line="336" w:lineRule="auto"/>
        <w:ind w:right="210" w:rightChars="100"/>
        <w:rPr>
          <w:rFonts w:ascii="仿宋_GB2312" w:hAnsi="仿宋" w:eastAsia="仿宋_GB2312"/>
          <w:caps/>
        </w:rPr>
      </w:pPr>
    </w:p>
    <w:p>
      <w:pPr>
        <w:spacing w:beforeLines="50" w:line="336" w:lineRule="auto"/>
        <w:ind w:right="210" w:rightChars="100"/>
        <w:rPr>
          <w:rFonts w:ascii="仿宋_GB2312" w:hAnsi="仿宋" w:eastAsia="仿宋_GB2312"/>
          <w:caps/>
        </w:rPr>
      </w:pPr>
    </w:p>
    <w:p>
      <w:pPr>
        <w:spacing w:beforeLines="50" w:line="336" w:lineRule="auto"/>
        <w:ind w:right="210" w:rightChars="100"/>
        <w:rPr>
          <w:rFonts w:ascii="仿宋_GB2312" w:hAnsi="仿宋" w:eastAsia="仿宋_GB2312"/>
          <w:caps/>
        </w:rPr>
      </w:pPr>
    </w:p>
    <w:p>
      <w:pPr>
        <w:spacing w:beforeLines="50" w:line="336" w:lineRule="auto"/>
        <w:ind w:right="210" w:rightChars="100"/>
        <w:rPr>
          <w:rFonts w:ascii="仿宋_GB2312" w:hAnsi="仿宋" w:eastAsia="仿宋_GB2312"/>
          <w:caps/>
        </w:rPr>
      </w:pPr>
    </w:p>
    <w:p>
      <w:pPr>
        <w:spacing w:beforeLines="50" w:line="336" w:lineRule="auto"/>
        <w:ind w:right="210" w:rightChars="100"/>
        <w:rPr>
          <w:rFonts w:ascii="仿宋_GB2312" w:hAnsi="仿宋" w:eastAsia="仿宋_GB2312"/>
          <w:caps/>
        </w:rPr>
      </w:pPr>
    </w:p>
    <w:p>
      <w:pPr>
        <w:spacing w:beforeLines="50" w:line="336" w:lineRule="auto"/>
        <w:ind w:right="210" w:rightChars="100"/>
        <w:rPr>
          <w:rFonts w:ascii="仿宋_GB2312" w:hAnsi="仿宋" w:eastAsia="仿宋_GB2312"/>
          <w:caps/>
        </w:rPr>
      </w:pPr>
    </w:p>
    <w:p>
      <w:pPr>
        <w:spacing w:beforeLines="50" w:line="336" w:lineRule="auto"/>
        <w:ind w:right="210" w:rightChars="100"/>
        <w:rPr>
          <w:rFonts w:ascii="仿宋_GB2312" w:hAnsi="仿宋" w:eastAsia="仿宋_GB2312"/>
          <w:caps/>
        </w:rPr>
      </w:pPr>
    </w:p>
    <w:p>
      <w:pPr>
        <w:spacing w:beforeLines="50" w:line="336" w:lineRule="auto"/>
        <w:ind w:right="210" w:rightChars="100"/>
        <w:rPr>
          <w:rFonts w:ascii="仿宋_GB2312" w:hAnsi="仿宋" w:eastAsia="仿宋_GB2312"/>
          <w:b/>
          <w:caps/>
        </w:rPr>
      </w:pPr>
      <w:r>
        <w:rPr>
          <w:rFonts w:hint="eastAsia" w:ascii="仿宋_GB2312" w:hAnsi="仿宋" w:eastAsia="仿宋_GB2312"/>
          <w:b/>
          <w:caps/>
        </w:rPr>
        <w:t>19.  负责人</w:t>
      </w:r>
    </w:p>
    <w:p>
      <w:pPr>
        <w:spacing w:beforeLines="50" w:line="480" w:lineRule="auto"/>
        <w:rPr>
          <w:rFonts w:ascii="仿宋_GB2312" w:eastAsia="仿宋_GB2312"/>
          <w:b/>
          <w:lang w:val="zh-CN"/>
        </w:rPr>
      </w:pPr>
    </w:p>
    <w:p>
      <w:pPr>
        <w:spacing w:beforeLines="50" w:line="480" w:lineRule="auto"/>
        <w:rPr>
          <w:rFonts w:ascii="仿宋_GB2312" w:eastAsia="仿宋_GB2312"/>
          <w:b/>
          <w:lang w:val="en-GB"/>
        </w:rPr>
      </w:pPr>
      <w:r>
        <w:rPr>
          <w:rFonts w:hint="eastAsia" w:ascii="仿宋_GB2312" w:eastAsia="仿宋_GB2312"/>
          <w:b/>
          <w:lang w:val="zh-CN"/>
        </w:rPr>
        <w:t>合同委托方</w:t>
      </w:r>
    </w:p>
    <w:p>
      <w:pPr>
        <w:spacing w:line="480" w:lineRule="auto"/>
        <w:outlineLvl w:val="5"/>
        <w:rPr>
          <w:rFonts w:ascii="仿宋_GB2312" w:eastAsia="仿宋_GB2312"/>
          <w:lang w:val="en-GB"/>
        </w:rPr>
      </w:pPr>
      <w:r>
        <w:rPr>
          <w:rFonts w:hint="eastAsia" w:ascii="仿宋_GB2312" w:eastAsia="仿宋_GB2312"/>
          <w:lang w:val="zh-CN"/>
        </w:rPr>
        <w:t>质量受权人和总经理</w:t>
      </w:r>
    </w:p>
    <w:p>
      <w:pPr>
        <w:spacing w:line="480" w:lineRule="auto"/>
        <w:rPr>
          <w:rFonts w:ascii="仿宋_GB2312" w:eastAsia="仿宋_GB2312"/>
        </w:rPr>
      </w:pPr>
      <w:r>
        <w:rPr>
          <w:rFonts w:hint="eastAsia" w:ascii="仿宋_GB2312" w:eastAsia="仿宋_GB2312"/>
          <w:lang w:val="zh-CN"/>
        </w:rPr>
        <w:t>姓名</w:t>
      </w:r>
      <w:r>
        <w:rPr>
          <w:rFonts w:hint="eastAsia" w:ascii="仿宋_GB2312" w:eastAsia="仿宋_GB2312"/>
        </w:rPr>
        <w:t>：</w:t>
      </w:r>
    </w:p>
    <w:p>
      <w:pPr>
        <w:spacing w:line="480" w:lineRule="auto"/>
        <w:rPr>
          <w:rFonts w:ascii="仿宋_GB2312" w:eastAsia="仿宋_GB2312"/>
          <w:lang w:val="en-GB"/>
        </w:rPr>
      </w:pPr>
      <w:r>
        <w:rPr>
          <w:rFonts w:hint="eastAsia" w:ascii="仿宋_GB2312" w:eastAsia="仿宋_GB2312"/>
          <w:lang w:val="zh-CN"/>
        </w:rPr>
        <w:t>地址</w:t>
      </w:r>
      <w:r>
        <w:rPr>
          <w:rFonts w:hint="eastAsia" w:ascii="仿宋_GB2312" w:eastAsia="仿宋_GB2312"/>
          <w:lang w:val="en-GB"/>
        </w:rPr>
        <w:t>：</w:t>
      </w:r>
      <w:r>
        <w:rPr>
          <w:rFonts w:hint="eastAsia" w:ascii="仿宋_GB2312" w:eastAsia="仿宋_GB2312"/>
        </w:rPr>
        <w:t>浙江省杭州市萧山国际机场浙航大道</w:t>
      </w:r>
    </w:p>
    <w:p>
      <w:pPr>
        <w:spacing w:line="480" w:lineRule="auto"/>
        <w:rPr>
          <w:rFonts w:ascii="仿宋_GB2312" w:eastAsia="仿宋_GB2312"/>
          <w:lang w:val="en-GB"/>
        </w:rPr>
      </w:pPr>
      <w:r>
        <w:rPr>
          <w:rFonts w:hint="eastAsia" w:ascii="仿宋_GB2312" w:eastAsia="仿宋_GB2312"/>
          <w:lang w:val="zh-CN"/>
        </w:rPr>
        <w:t>电话号码</w:t>
      </w:r>
      <w:r>
        <w:rPr>
          <w:rFonts w:hint="eastAsia" w:ascii="仿宋_GB2312" w:eastAsia="仿宋_GB2312"/>
          <w:lang w:val="en-GB"/>
        </w:rPr>
        <w:t>：+86-571-83837619</w:t>
      </w:r>
    </w:p>
    <w:p>
      <w:pPr>
        <w:spacing w:line="480" w:lineRule="auto"/>
        <w:rPr>
          <w:rFonts w:ascii="仿宋_GB2312" w:eastAsia="仿宋_GB2312"/>
          <w:lang w:val="en-GB"/>
        </w:rPr>
      </w:pPr>
      <w:r>
        <w:rPr>
          <w:rFonts w:hint="eastAsia" w:ascii="仿宋_GB2312" w:eastAsia="仿宋_GB2312"/>
          <w:lang w:val="zh-CN"/>
        </w:rPr>
        <w:t>传真号码</w:t>
      </w:r>
      <w:r>
        <w:rPr>
          <w:rFonts w:hint="eastAsia" w:ascii="仿宋_GB2312" w:eastAsia="仿宋_GB2312"/>
          <w:lang w:val="en-GB"/>
        </w:rPr>
        <w:t>：+86-571-86660327</w:t>
      </w:r>
    </w:p>
    <w:p>
      <w:pPr>
        <w:spacing w:beforeLines="100" w:line="480" w:lineRule="auto"/>
        <w:rPr>
          <w:rFonts w:ascii="仿宋_GB2312" w:eastAsia="仿宋_GB2312"/>
          <w:b/>
          <w:lang w:val="en-GB"/>
        </w:rPr>
      </w:pPr>
      <w:r>
        <w:rPr>
          <w:rFonts w:hint="eastAsia" w:ascii="仿宋_GB2312" w:eastAsia="仿宋_GB2312"/>
          <w:b/>
          <w:lang w:val="zh-CN"/>
        </w:rPr>
        <w:t>合同受托方</w:t>
      </w:r>
    </w:p>
    <w:p>
      <w:pPr>
        <w:spacing w:line="480" w:lineRule="auto"/>
        <w:outlineLvl w:val="5"/>
        <w:rPr>
          <w:rFonts w:ascii="仿宋_GB2312" w:eastAsia="仿宋_GB2312"/>
          <w:lang w:val="en-GB"/>
        </w:rPr>
      </w:pPr>
      <w:r>
        <w:rPr>
          <w:rFonts w:hint="eastAsia" w:ascii="仿宋_GB2312" w:eastAsia="仿宋_GB2312"/>
          <w:lang w:val="zh-CN"/>
        </w:rPr>
        <w:t>质量受权人和总经理</w:t>
      </w:r>
    </w:p>
    <w:p>
      <w:pPr>
        <w:spacing w:line="480" w:lineRule="auto"/>
        <w:rPr>
          <w:rFonts w:ascii="仿宋_GB2312" w:eastAsia="仿宋_GB2312"/>
        </w:rPr>
      </w:pPr>
      <w:r>
        <w:rPr>
          <w:rFonts w:hint="eastAsia" w:ascii="仿宋_GB2312" w:eastAsia="仿宋_GB2312"/>
          <w:lang w:val="zh-CN"/>
        </w:rPr>
        <w:t>姓名</w:t>
      </w:r>
      <w:r>
        <w:rPr>
          <w:rFonts w:hint="eastAsia" w:ascii="仿宋_GB2312" w:eastAsia="仿宋_GB2312"/>
        </w:rPr>
        <w:t>：</w:t>
      </w:r>
    </w:p>
    <w:p>
      <w:pPr>
        <w:spacing w:line="480" w:lineRule="auto"/>
        <w:rPr>
          <w:rFonts w:ascii="仿宋_GB2312" w:eastAsia="仿宋_GB2312"/>
          <w:lang w:val="en-GB"/>
        </w:rPr>
      </w:pPr>
      <w:r>
        <w:rPr>
          <w:rFonts w:hint="eastAsia" w:ascii="仿宋_GB2312" w:eastAsia="仿宋_GB2312"/>
          <w:lang w:val="zh-CN"/>
        </w:rPr>
        <w:t>地址</w:t>
      </w:r>
      <w:r>
        <w:rPr>
          <w:rFonts w:hint="eastAsia" w:ascii="仿宋_GB2312" w:eastAsia="仿宋_GB2312"/>
          <w:lang w:val="en-GB"/>
        </w:rPr>
        <w:t>：</w:t>
      </w:r>
    </w:p>
    <w:p>
      <w:pPr>
        <w:spacing w:line="480" w:lineRule="auto"/>
        <w:rPr>
          <w:rFonts w:ascii="仿宋_GB2312" w:eastAsia="仿宋_GB2312"/>
          <w:lang w:val="en-GB"/>
        </w:rPr>
      </w:pPr>
      <w:r>
        <w:rPr>
          <w:rFonts w:hint="eastAsia" w:ascii="仿宋_GB2312" w:eastAsia="仿宋_GB2312"/>
          <w:lang w:val="zh-CN"/>
        </w:rPr>
        <w:t>电话号码</w:t>
      </w:r>
      <w:r>
        <w:rPr>
          <w:rFonts w:hint="eastAsia" w:ascii="仿宋_GB2312" w:eastAsia="仿宋_GB2312"/>
          <w:lang w:val="en-GB"/>
        </w:rPr>
        <w:t>：</w:t>
      </w:r>
    </w:p>
    <w:p>
      <w:pPr>
        <w:spacing w:line="480" w:lineRule="auto"/>
        <w:rPr>
          <w:rFonts w:ascii="仿宋_GB2312" w:eastAsia="仿宋_GB2312"/>
          <w:lang w:val="en-GB"/>
        </w:rPr>
      </w:pPr>
      <w:r>
        <w:rPr>
          <w:rFonts w:hint="eastAsia" w:ascii="仿宋_GB2312" w:eastAsia="仿宋_GB2312"/>
          <w:lang w:val="zh-CN"/>
        </w:rPr>
        <w:t>传真号码</w:t>
      </w:r>
      <w:r>
        <w:rPr>
          <w:rFonts w:hint="eastAsia" w:ascii="仿宋_GB2312" w:eastAsia="仿宋_GB2312"/>
          <w:lang w:val="en-GB"/>
        </w:rPr>
        <w:t xml:space="preserve">： </w:t>
      </w:r>
    </w:p>
    <w:p>
      <w:pPr>
        <w:spacing w:line="480" w:lineRule="auto"/>
        <w:rPr>
          <w:rFonts w:ascii="仿宋_GB2312" w:eastAsia="仿宋_GB2312"/>
          <w:lang w:val="en-GB"/>
        </w:rPr>
      </w:pPr>
    </w:p>
    <w:p>
      <w:pPr>
        <w:spacing w:line="480" w:lineRule="auto"/>
        <w:rPr>
          <w:rFonts w:ascii="仿宋_GB2312" w:eastAsia="仿宋_GB2312"/>
          <w:lang w:val="en-GB"/>
        </w:rPr>
      </w:pPr>
    </w:p>
    <w:p>
      <w:pPr>
        <w:spacing w:line="480" w:lineRule="auto"/>
        <w:rPr>
          <w:rFonts w:ascii="仿宋_GB2312" w:eastAsia="仿宋_GB2312"/>
          <w:lang w:val="en-GB"/>
        </w:rPr>
      </w:pPr>
    </w:p>
    <w:p>
      <w:pPr>
        <w:spacing w:line="480" w:lineRule="auto"/>
        <w:rPr>
          <w:rFonts w:ascii="仿宋_GB2312" w:eastAsia="仿宋_GB2312"/>
          <w:lang w:val="en-GB"/>
        </w:rPr>
      </w:pPr>
    </w:p>
    <w:p>
      <w:pPr>
        <w:spacing w:line="480" w:lineRule="auto"/>
        <w:rPr>
          <w:rFonts w:ascii="仿宋_GB2312" w:eastAsia="仿宋_GB2312"/>
          <w:lang w:val="en-GB"/>
        </w:rPr>
      </w:pPr>
    </w:p>
    <w:p>
      <w:pPr>
        <w:spacing w:line="480" w:lineRule="auto"/>
        <w:rPr>
          <w:rFonts w:ascii="仿宋_GB2312" w:eastAsia="仿宋_GB2312"/>
          <w:lang w:val="en-GB"/>
        </w:rPr>
      </w:pPr>
    </w:p>
    <w:p>
      <w:pPr>
        <w:spacing w:line="480" w:lineRule="auto"/>
        <w:rPr>
          <w:rFonts w:ascii="仿宋_GB2312" w:eastAsia="仿宋_GB2312"/>
          <w:lang w:val="en-GB"/>
        </w:rPr>
      </w:pPr>
    </w:p>
    <w:p>
      <w:pPr>
        <w:spacing w:line="480" w:lineRule="auto"/>
        <w:rPr>
          <w:rFonts w:ascii="仿宋_GB2312" w:eastAsia="仿宋_GB2312"/>
          <w:lang w:val="en-GB"/>
        </w:rPr>
      </w:pPr>
    </w:p>
    <w:p>
      <w:pPr>
        <w:spacing w:line="480" w:lineRule="auto"/>
        <w:rPr>
          <w:rFonts w:ascii="仿宋_GB2312" w:eastAsia="仿宋_GB2312"/>
          <w:lang w:val="en-GB"/>
        </w:rPr>
      </w:pPr>
    </w:p>
    <w:p>
      <w:pPr>
        <w:spacing w:line="480" w:lineRule="auto"/>
        <w:rPr>
          <w:rFonts w:ascii="仿宋_GB2312" w:eastAsia="仿宋_GB2312"/>
          <w:lang w:val="en-GB"/>
        </w:rPr>
      </w:pPr>
    </w:p>
    <w:p>
      <w:pPr>
        <w:spacing w:line="480" w:lineRule="auto"/>
        <w:rPr>
          <w:rFonts w:ascii="仿宋_GB2312" w:eastAsia="仿宋_GB2312"/>
          <w:lang w:val="en-GB"/>
        </w:rPr>
      </w:pPr>
    </w:p>
    <w:p>
      <w:pPr>
        <w:spacing w:beforeLines="50" w:line="288" w:lineRule="auto"/>
        <w:rPr>
          <w:rFonts w:ascii="仿宋_GB2312" w:eastAsia="仿宋_GB2312"/>
          <w:b/>
          <w:lang w:val="zh-CN"/>
        </w:rPr>
      </w:pPr>
      <w:r>
        <w:rPr>
          <w:rFonts w:hint="eastAsia" w:ascii="仿宋_GB2312" w:eastAsia="仿宋_GB2312"/>
          <w:b/>
          <w:lang w:val="zh-CN"/>
        </w:rPr>
        <w:t>对于合同委托方</w:t>
      </w:r>
    </w:p>
    <w:p>
      <w:pPr>
        <w:spacing w:beforeLines="50" w:line="288" w:lineRule="auto"/>
        <w:rPr>
          <w:rFonts w:ascii="仿宋_GB2312" w:eastAsia="仿宋_GB2312"/>
          <w:b/>
        </w:rPr>
      </w:pPr>
    </w:p>
    <w:tbl>
      <w:tblPr>
        <w:tblStyle w:val="2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6"/>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1" w:hRule="atLeast"/>
        </w:trPr>
        <w:tc>
          <w:tcPr>
            <w:tcW w:w="4606" w:type="dxa"/>
            <w:tcBorders>
              <w:top w:val="single" w:color="auto" w:sz="4" w:space="0"/>
              <w:left w:val="single" w:color="auto" w:sz="4" w:space="0"/>
              <w:bottom w:val="single" w:color="auto" w:sz="4" w:space="0"/>
              <w:right w:val="single" w:color="auto" w:sz="4" w:space="0"/>
            </w:tcBorders>
            <w:vAlign w:val="center"/>
          </w:tcPr>
          <w:p>
            <w:pPr>
              <w:spacing w:after="120"/>
              <w:rPr>
                <w:rFonts w:ascii="仿宋_GB2312" w:eastAsia="仿宋_GB2312"/>
                <w:u w:val="single"/>
              </w:rPr>
            </w:pPr>
            <w:r>
              <w:rPr>
                <w:rFonts w:hint="eastAsia" w:ascii="仿宋_GB2312" w:eastAsia="仿宋_GB2312"/>
                <w:lang w:val="zh-CN"/>
              </w:rPr>
              <w:t>地</w:t>
            </w:r>
            <w:r>
              <w:rPr>
                <w:rFonts w:hint="eastAsia" w:ascii="仿宋_GB2312" w:eastAsia="仿宋_GB2312"/>
                <w:lang w:val="zh-CN" w:eastAsia="en-US"/>
              </w:rPr>
              <w:t>址</w:t>
            </w:r>
            <w:r>
              <w:rPr>
                <w:rFonts w:hint="eastAsia" w:ascii="仿宋_GB2312" w:eastAsia="仿宋_GB2312"/>
                <w:u w:val="single"/>
                <w:lang w:val="zh-CN"/>
              </w:rPr>
              <w:t xml:space="preserve">             </w:t>
            </w:r>
            <w:r>
              <w:rPr>
                <w:rFonts w:hint="eastAsia" w:ascii="仿宋_GB2312" w:eastAsia="仿宋_GB2312"/>
                <w:lang w:eastAsia="en-US"/>
              </w:rPr>
              <w:t>，</w:t>
            </w:r>
            <w:r>
              <w:rPr>
                <w:rFonts w:hint="eastAsia" w:ascii="仿宋_GB2312" w:eastAsia="仿宋_GB2312"/>
                <w:lang w:val="zh-CN" w:eastAsia="en-US"/>
              </w:rPr>
              <w:t>日期</w:t>
            </w:r>
            <w:r>
              <w:rPr>
                <w:rFonts w:hint="eastAsia" w:ascii="仿宋_GB2312" w:eastAsia="仿宋_GB2312"/>
                <w:u w:val="single"/>
                <w:lang w:val="zh-CN"/>
              </w:rPr>
              <w:t xml:space="preserve">           </w:t>
            </w:r>
          </w:p>
          <w:p>
            <w:pPr>
              <w:spacing w:before="60" w:after="60"/>
              <w:rPr>
                <w:rFonts w:ascii="仿宋_GB2312" w:eastAsia="仿宋_GB2312"/>
                <w:lang w:val="en-GB"/>
              </w:rPr>
            </w:pPr>
          </w:p>
          <w:p>
            <w:pPr>
              <w:spacing w:before="60" w:after="60"/>
              <w:rPr>
                <w:rFonts w:ascii="仿宋_GB2312" w:eastAsia="仿宋_GB2312"/>
                <w:lang w:val="en-GB"/>
              </w:rPr>
            </w:pPr>
          </w:p>
          <w:p>
            <w:pPr>
              <w:spacing w:before="60" w:after="60"/>
              <w:rPr>
                <w:rFonts w:ascii="仿宋_GB2312" w:eastAsia="仿宋_GB2312"/>
                <w:lang w:val="en-GB" w:eastAsia="en-US"/>
              </w:rPr>
            </w:pPr>
          </w:p>
        </w:tc>
        <w:tc>
          <w:tcPr>
            <w:tcW w:w="4607" w:type="dxa"/>
            <w:tcBorders>
              <w:top w:val="single" w:color="auto" w:sz="4" w:space="0"/>
              <w:left w:val="single" w:color="auto" w:sz="4" w:space="0"/>
              <w:bottom w:val="single" w:color="auto" w:sz="4" w:space="0"/>
              <w:right w:val="single" w:color="auto" w:sz="4" w:space="0"/>
            </w:tcBorders>
            <w:vAlign w:val="center"/>
          </w:tcPr>
          <w:p>
            <w:pPr>
              <w:spacing w:after="120"/>
              <w:rPr>
                <w:rFonts w:ascii="仿宋_GB2312" w:eastAsia="仿宋_GB2312"/>
                <w:u w:val="single"/>
              </w:rPr>
            </w:pPr>
            <w:r>
              <w:rPr>
                <w:rFonts w:hint="eastAsia" w:ascii="仿宋_GB2312" w:eastAsia="仿宋_GB2312"/>
                <w:lang w:val="zh-CN"/>
              </w:rPr>
              <w:t>地</w:t>
            </w:r>
            <w:r>
              <w:rPr>
                <w:rFonts w:hint="eastAsia" w:ascii="仿宋_GB2312" w:eastAsia="仿宋_GB2312"/>
                <w:lang w:val="zh-CN" w:eastAsia="en-US"/>
              </w:rPr>
              <w:t>址</w:t>
            </w:r>
            <w:r>
              <w:rPr>
                <w:rFonts w:hint="eastAsia" w:ascii="仿宋_GB2312" w:eastAsia="仿宋_GB2312"/>
                <w:u w:val="single"/>
                <w:lang w:val="zh-CN"/>
              </w:rPr>
              <w:t xml:space="preserve">             </w:t>
            </w:r>
            <w:r>
              <w:rPr>
                <w:rFonts w:hint="eastAsia" w:ascii="仿宋_GB2312" w:eastAsia="仿宋_GB2312"/>
                <w:lang w:eastAsia="en-US"/>
              </w:rPr>
              <w:t>，</w:t>
            </w:r>
            <w:r>
              <w:rPr>
                <w:rFonts w:hint="eastAsia" w:ascii="仿宋_GB2312" w:eastAsia="仿宋_GB2312"/>
                <w:lang w:val="zh-CN" w:eastAsia="en-US"/>
              </w:rPr>
              <w:t>日期</w:t>
            </w:r>
            <w:r>
              <w:rPr>
                <w:rFonts w:hint="eastAsia" w:ascii="仿宋_GB2312" w:eastAsia="仿宋_GB2312"/>
                <w:u w:val="single"/>
                <w:lang w:val="zh-CN"/>
              </w:rPr>
              <w:t xml:space="preserve">           </w:t>
            </w:r>
          </w:p>
          <w:p>
            <w:pPr>
              <w:spacing w:before="60" w:after="60"/>
              <w:rPr>
                <w:rFonts w:ascii="仿宋_GB2312" w:eastAsia="仿宋_GB2312"/>
                <w:lang w:val="en-GB"/>
              </w:rPr>
            </w:pPr>
          </w:p>
          <w:p>
            <w:pPr>
              <w:spacing w:before="60" w:after="60"/>
              <w:rPr>
                <w:rFonts w:ascii="仿宋_GB2312" w:eastAsia="仿宋_GB2312"/>
                <w:lang w:val="en-GB"/>
              </w:rPr>
            </w:pPr>
          </w:p>
          <w:p>
            <w:pPr>
              <w:spacing w:before="60" w:after="60"/>
              <w:rPr>
                <w:rFonts w:ascii="仿宋_GB2312" w:eastAsia="仿宋_GB231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4606" w:type="dxa"/>
            <w:tcBorders>
              <w:top w:val="single" w:color="auto" w:sz="4" w:space="0"/>
              <w:left w:val="single" w:color="auto" w:sz="4" w:space="0"/>
              <w:bottom w:val="single" w:color="auto" w:sz="4" w:space="0"/>
              <w:right w:val="single" w:color="auto" w:sz="4" w:space="0"/>
            </w:tcBorders>
            <w:vAlign w:val="bottom"/>
          </w:tcPr>
          <w:p>
            <w:pPr>
              <w:spacing w:before="60" w:after="60"/>
              <w:rPr>
                <w:rFonts w:ascii="仿宋_GB2312" w:eastAsia="仿宋_GB2312"/>
                <w:b/>
                <w:lang w:val="zh-CN"/>
              </w:rPr>
            </w:pPr>
            <w:r>
              <w:rPr>
                <w:rFonts w:hint="eastAsia" w:ascii="仿宋_GB2312" w:eastAsia="仿宋_GB2312"/>
                <w:b/>
                <w:lang w:val="zh-CN" w:eastAsia="en-US"/>
              </w:rPr>
              <w:t>总经理**</w:t>
            </w:r>
          </w:p>
        </w:tc>
        <w:tc>
          <w:tcPr>
            <w:tcW w:w="4607" w:type="dxa"/>
            <w:tcBorders>
              <w:top w:val="single" w:color="auto" w:sz="4" w:space="0"/>
              <w:left w:val="single" w:color="auto" w:sz="4" w:space="0"/>
              <w:bottom w:val="single" w:color="auto" w:sz="4" w:space="0"/>
              <w:right w:val="single" w:color="auto" w:sz="4" w:space="0"/>
            </w:tcBorders>
            <w:vAlign w:val="bottom"/>
          </w:tcPr>
          <w:p>
            <w:pPr>
              <w:spacing w:before="60" w:after="60"/>
              <w:rPr>
                <w:rFonts w:ascii="仿宋_GB2312" w:eastAsia="仿宋_GB2312"/>
                <w:b/>
                <w:lang w:val="zh-CN"/>
              </w:rPr>
            </w:pPr>
            <w:r>
              <w:rPr>
                <w:rFonts w:hint="eastAsia" w:ascii="仿宋_GB2312" w:eastAsia="仿宋_GB2312"/>
                <w:b/>
                <w:lang w:val="zh-CN" w:eastAsia="en-US"/>
              </w:rPr>
              <w:t>质量受权人*</w:t>
            </w:r>
          </w:p>
        </w:tc>
      </w:tr>
    </w:tbl>
    <w:p>
      <w:pPr>
        <w:spacing w:beforeLines="50"/>
        <w:rPr>
          <w:rFonts w:ascii="仿宋_GB2312" w:eastAsia="仿宋_GB2312"/>
          <w:b/>
          <w:lang w:val="zh-CN"/>
        </w:rPr>
      </w:pPr>
    </w:p>
    <w:p>
      <w:pPr>
        <w:spacing w:beforeLines="50"/>
        <w:rPr>
          <w:rFonts w:ascii="仿宋_GB2312" w:eastAsia="仿宋_GB2312"/>
          <w:b/>
          <w:lang w:val="zh-CN"/>
        </w:rPr>
      </w:pPr>
    </w:p>
    <w:p>
      <w:pPr>
        <w:spacing w:beforeLines="50"/>
        <w:rPr>
          <w:rFonts w:ascii="仿宋_GB2312" w:eastAsia="仿宋_GB2312"/>
          <w:b/>
          <w:lang w:val="zh-CN"/>
        </w:rPr>
      </w:pPr>
      <w:r>
        <w:rPr>
          <w:rFonts w:hint="eastAsia" w:ascii="仿宋_GB2312" w:eastAsia="仿宋_GB2312"/>
          <w:b/>
          <w:lang w:val="zh-CN" w:eastAsia="en-US"/>
        </w:rPr>
        <w:t>对于合同受托方</w:t>
      </w:r>
    </w:p>
    <w:p>
      <w:pPr>
        <w:spacing w:beforeLines="50"/>
        <w:rPr>
          <w:rFonts w:ascii="仿宋_GB2312" w:eastAsia="仿宋_GB2312"/>
        </w:rPr>
      </w:pPr>
    </w:p>
    <w:tbl>
      <w:tblPr>
        <w:tblStyle w:val="24"/>
        <w:tblW w:w="909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8"/>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3" w:hRule="atLeast"/>
        </w:trPr>
        <w:tc>
          <w:tcPr>
            <w:tcW w:w="4528" w:type="dxa"/>
            <w:tcBorders>
              <w:top w:val="single" w:color="auto" w:sz="4" w:space="0"/>
              <w:left w:val="single" w:color="auto" w:sz="4" w:space="0"/>
              <w:bottom w:val="single" w:color="auto" w:sz="4" w:space="0"/>
              <w:right w:val="single" w:color="auto" w:sz="4" w:space="0"/>
            </w:tcBorders>
            <w:vAlign w:val="center"/>
          </w:tcPr>
          <w:p>
            <w:pPr>
              <w:spacing w:after="120"/>
              <w:rPr>
                <w:rFonts w:ascii="仿宋_GB2312" w:eastAsia="仿宋_GB2312"/>
                <w:u w:val="single"/>
              </w:rPr>
            </w:pPr>
            <w:r>
              <w:rPr>
                <w:rFonts w:hint="eastAsia" w:ascii="仿宋_GB2312" w:eastAsia="仿宋_GB2312"/>
                <w:lang w:val="zh-CN"/>
              </w:rPr>
              <w:t>地</w:t>
            </w:r>
            <w:r>
              <w:rPr>
                <w:rFonts w:hint="eastAsia" w:ascii="仿宋_GB2312" w:eastAsia="仿宋_GB2312"/>
                <w:lang w:val="zh-CN" w:eastAsia="en-US"/>
              </w:rPr>
              <w:t>址</w:t>
            </w:r>
            <w:r>
              <w:rPr>
                <w:rFonts w:hint="eastAsia" w:ascii="仿宋_GB2312" w:eastAsia="仿宋_GB2312"/>
                <w:u w:val="single"/>
                <w:lang w:val="zh-CN"/>
              </w:rPr>
              <w:t xml:space="preserve">             </w:t>
            </w:r>
            <w:r>
              <w:rPr>
                <w:rFonts w:hint="eastAsia" w:ascii="仿宋_GB2312" w:eastAsia="仿宋_GB2312"/>
                <w:lang w:eastAsia="en-US"/>
              </w:rPr>
              <w:t>，</w:t>
            </w:r>
            <w:r>
              <w:rPr>
                <w:rFonts w:hint="eastAsia" w:ascii="仿宋_GB2312" w:eastAsia="仿宋_GB2312"/>
                <w:lang w:val="zh-CN" w:eastAsia="en-US"/>
              </w:rPr>
              <w:t>日期</w:t>
            </w:r>
            <w:r>
              <w:rPr>
                <w:rFonts w:hint="eastAsia" w:ascii="仿宋_GB2312" w:eastAsia="仿宋_GB2312"/>
                <w:u w:val="single"/>
                <w:lang w:val="zh-CN"/>
              </w:rPr>
              <w:t xml:space="preserve">           </w:t>
            </w:r>
          </w:p>
          <w:p>
            <w:pPr>
              <w:spacing w:before="60" w:after="60"/>
              <w:rPr>
                <w:rFonts w:ascii="仿宋_GB2312" w:eastAsia="仿宋_GB2312"/>
                <w:lang w:val="en-GB"/>
              </w:rPr>
            </w:pPr>
          </w:p>
          <w:p>
            <w:pPr>
              <w:spacing w:before="60" w:after="60"/>
              <w:rPr>
                <w:rFonts w:ascii="仿宋_GB2312" w:eastAsia="仿宋_GB2312"/>
                <w:lang w:val="en-GB"/>
              </w:rPr>
            </w:pPr>
          </w:p>
          <w:p>
            <w:pPr>
              <w:spacing w:before="60" w:after="60"/>
              <w:rPr>
                <w:rFonts w:ascii="仿宋_GB2312" w:eastAsia="仿宋_GB2312"/>
                <w:lang w:val="en-GB" w:eastAsia="en-US"/>
              </w:rPr>
            </w:pPr>
          </w:p>
        </w:tc>
        <w:tc>
          <w:tcPr>
            <w:tcW w:w="4563" w:type="dxa"/>
            <w:tcBorders>
              <w:top w:val="single" w:color="auto" w:sz="4" w:space="0"/>
              <w:left w:val="single" w:color="auto" w:sz="4" w:space="0"/>
              <w:bottom w:val="single" w:color="auto" w:sz="4" w:space="0"/>
              <w:right w:val="single" w:color="auto" w:sz="4" w:space="0"/>
            </w:tcBorders>
            <w:vAlign w:val="center"/>
          </w:tcPr>
          <w:p>
            <w:pPr>
              <w:spacing w:after="120"/>
              <w:rPr>
                <w:rFonts w:ascii="仿宋_GB2312" w:eastAsia="仿宋_GB2312"/>
                <w:u w:val="single"/>
              </w:rPr>
            </w:pPr>
            <w:r>
              <w:rPr>
                <w:rFonts w:hint="eastAsia" w:ascii="仿宋_GB2312" w:eastAsia="仿宋_GB2312"/>
                <w:lang w:val="zh-CN"/>
              </w:rPr>
              <w:t>地</w:t>
            </w:r>
            <w:r>
              <w:rPr>
                <w:rFonts w:hint="eastAsia" w:ascii="仿宋_GB2312" w:eastAsia="仿宋_GB2312"/>
                <w:lang w:val="zh-CN" w:eastAsia="en-US"/>
              </w:rPr>
              <w:t>址</w:t>
            </w:r>
            <w:r>
              <w:rPr>
                <w:rFonts w:hint="eastAsia" w:ascii="仿宋_GB2312" w:eastAsia="仿宋_GB2312"/>
                <w:u w:val="single"/>
                <w:lang w:val="zh-CN"/>
              </w:rPr>
              <w:t xml:space="preserve">             </w:t>
            </w:r>
            <w:r>
              <w:rPr>
                <w:rFonts w:hint="eastAsia" w:ascii="仿宋_GB2312" w:eastAsia="仿宋_GB2312"/>
                <w:lang w:eastAsia="en-US"/>
              </w:rPr>
              <w:t>，</w:t>
            </w:r>
            <w:r>
              <w:rPr>
                <w:rFonts w:hint="eastAsia" w:ascii="仿宋_GB2312" w:eastAsia="仿宋_GB2312"/>
                <w:lang w:val="zh-CN" w:eastAsia="en-US"/>
              </w:rPr>
              <w:t>日期</w:t>
            </w:r>
            <w:r>
              <w:rPr>
                <w:rFonts w:hint="eastAsia" w:ascii="仿宋_GB2312" w:eastAsia="仿宋_GB2312"/>
                <w:u w:val="single"/>
                <w:lang w:val="zh-CN"/>
              </w:rPr>
              <w:t xml:space="preserve">           </w:t>
            </w:r>
          </w:p>
          <w:p>
            <w:pPr>
              <w:spacing w:before="60" w:after="60"/>
              <w:rPr>
                <w:rFonts w:ascii="仿宋_GB2312" w:eastAsia="仿宋_GB2312"/>
                <w:lang w:val="fi-FI"/>
              </w:rPr>
            </w:pPr>
          </w:p>
          <w:p>
            <w:pPr>
              <w:spacing w:before="60" w:after="60"/>
              <w:rPr>
                <w:rFonts w:ascii="仿宋_GB2312" w:eastAsia="仿宋_GB2312"/>
                <w:lang w:val="fi-FI"/>
              </w:rPr>
            </w:pPr>
          </w:p>
          <w:p>
            <w:pPr>
              <w:spacing w:before="60" w:after="60"/>
              <w:rPr>
                <w:rFonts w:ascii="仿宋_GB2312" w:eastAsia="仿宋_GB2312"/>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trPr>
        <w:tc>
          <w:tcPr>
            <w:tcW w:w="4528" w:type="dxa"/>
            <w:tcBorders>
              <w:top w:val="single" w:color="auto" w:sz="4" w:space="0"/>
              <w:left w:val="single" w:color="auto" w:sz="4" w:space="0"/>
              <w:bottom w:val="single" w:color="auto" w:sz="4" w:space="0"/>
              <w:right w:val="single" w:color="auto" w:sz="4" w:space="0"/>
            </w:tcBorders>
            <w:vAlign w:val="bottom"/>
          </w:tcPr>
          <w:p>
            <w:pPr>
              <w:spacing w:before="60" w:after="60"/>
              <w:rPr>
                <w:rFonts w:ascii="仿宋_GB2312" w:eastAsia="仿宋_GB2312"/>
                <w:b/>
                <w:lang w:val="zh-CN"/>
              </w:rPr>
            </w:pPr>
            <w:r>
              <w:rPr>
                <w:rFonts w:hint="eastAsia" w:ascii="仿宋_GB2312" w:eastAsia="仿宋_GB2312"/>
                <w:b/>
                <w:lang w:val="zh-CN" w:eastAsia="en-US"/>
              </w:rPr>
              <w:t>总经理**</w:t>
            </w:r>
          </w:p>
          <w:p>
            <w:pPr>
              <w:spacing w:before="60" w:after="60"/>
              <w:rPr>
                <w:rFonts w:ascii="仿宋_GB2312" w:eastAsia="仿宋_GB2312"/>
              </w:rPr>
            </w:pPr>
          </w:p>
        </w:tc>
        <w:tc>
          <w:tcPr>
            <w:tcW w:w="4563" w:type="dxa"/>
            <w:tcBorders>
              <w:top w:val="single" w:color="auto" w:sz="4" w:space="0"/>
              <w:left w:val="single" w:color="auto" w:sz="4" w:space="0"/>
              <w:bottom w:val="single" w:color="auto" w:sz="4" w:space="0"/>
              <w:right w:val="single" w:color="auto" w:sz="4" w:space="0"/>
            </w:tcBorders>
            <w:vAlign w:val="bottom"/>
          </w:tcPr>
          <w:p>
            <w:pPr>
              <w:spacing w:before="60" w:after="60"/>
              <w:rPr>
                <w:rFonts w:ascii="仿宋_GB2312" w:eastAsia="仿宋_GB2312"/>
                <w:b/>
                <w:lang w:val="zh-CN"/>
              </w:rPr>
            </w:pPr>
            <w:r>
              <w:rPr>
                <w:rFonts w:hint="eastAsia" w:ascii="仿宋_GB2312" w:eastAsia="仿宋_GB2312"/>
                <w:b/>
                <w:lang w:val="zh-CN" w:eastAsia="en-US"/>
              </w:rPr>
              <w:t>质量受权人*</w:t>
            </w:r>
          </w:p>
          <w:p>
            <w:pPr>
              <w:spacing w:before="60" w:after="60"/>
              <w:rPr>
                <w:rFonts w:ascii="仿宋_GB2312" w:eastAsia="仿宋_GB2312"/>
              </w:rPr>
            </w:pPr>
          </w:p>
        </w:tc>
      </w:tr>
    </w:tbl>
    <w:p>
      <w:pPr>
        <w:spacing w:line="288" w:lineRule="auto"/>
        <w:outlineLvl w:val="6"/>
        <w:rPr>
          <w:rFonts w:ascii="仿宋_GB2312" w:eastAsia="仿宋_GB2312"/>
          <w:lang w:val="zh-CN"/>
        </w:rPr>
      </w:pPr>
      <w:r>
        <w:rPr>
          <w:rFonts w:hint="eastAsia" w:ascii="仿宋_GB2312" w:eastAsia="仿宋_GB2312"/>
          <w:lang w:val="en-GB"/>
        </w:rPr>
        <w:t>*</w:t>
      </w:r>
      <w:r>
        <w:rPr>
          <w:rFonts w:hint="eastAsia" w:ascii="仿宋_GB2312" w:eastAsia="仿宋_GB2312"/>
          <w:lang w:val="zh-CN"/>
        </w:rPr>
        <w:t>由质量受权人或代表或质量受权人职位不存在时质量代表签名</w:t>
      </w:r>
    </w:p>
    <w:p>
      <w:pPr>
        <w:spacing w:line="288" w:lineRule="auto"/>
        <w:rPr>
          <w:rFonts w:ascii="仿宋_GB2312" w:eastAsia="仿宋_GB2312"/>
          <w:lang w:val="zh-CN"/>
        </w:rPr>
      </w:pPr>
      <w:r>
        <w:rPr>
          <w:rFonts w:hint="eastAsia" w:ascii="仿宋_GB2312" w:eastAsia="仿宋_GB2312"/>
          <w:lang w:val="en-GB"/>
        </w:rPr>
        <w:t xml:space="preserve">** </w:t>
      </w:r>
      <w:r>
        <w:rPr>
          <w:rFonts w:hint="eastAsia" w:ascii="仿宋_GB2312" w:eastAsia="仿宋_GB2312"/>
          <w:lang w:val="zh-CN"/>
        </w:rPr>
        <w:t>如适用</w:t>
      </w:r>
      <w:r>
        <w:rPr>
          <w:rFonts w:hint="eastAsia" w:ascii="仿宋_GB2312" w:eastAsia="仿宋_GB2312"/>
          <w:lang w:val="en-GB"/>
        </w:rPr>
        <w:t>，</w:t>
      </w:r>
      <w:r>
        <w:rPr>
          <w:rFonts w:hint="eastAsia" w:ascii="仿宋_GB2312" w:eastAsia="仿宋_GB2312"/>
          <w:lang w:val="zh-CN"/>
        </w:rPr>
        <w:t>由总经理或代表签名</w:t>
      </w:r>
      <w:bookmarkStart w:id="32" w:name="_Toc396473235"/>
    </w:p>
    <w:bookmarkEnd w:id="32"/>
    <w:p>
      <w:pPr>
        <w:widowControl/>
        <w:jc w:val="left"/>
        <w:rPr>
          <w:rFonts w:ascii="仿宋_GB2312" w:eastAsia="仿宋_GB2312"/>
        </w:rPr>
      </w:pPr>
    </w:p>
    <w:p>
      <w:pPr>
        <w:widowControl/>
        <w:jc w:val="left"/>
        <w:rPr>
          <w:rFonts w:ascii="仿宋_GB2312" w:eastAsia="仿宋_GB2312"/>
        </w:rPr>
      </w:pPr>
    </w:p>
    <w:p>
      <w:pPr>
        <w:widowControl/>
        <w:jc w:val="left"/>
        <w:rPr>
          <w:rFonts w:ascii="仿宋_GB2312" w:eastAsia="仿宋_GB2312"/>
        </w:rPr>
      </w:pPr>
    </w:p>
    <w:p>
      <w:pPr>
        <w:widowControl/>
        <w:jc w:val="left"/>
        <w:rPr>
          <w:rFonts w:ascii="仿宋_GB2312" w:eastAsia="仿宋_GB2312"/>
        </w:rPr>
      </w:pPr>
    </w:p>
    <w:p>
      <w:pPr>
        <w:widowControl/>
        <w:jc w:val="left"/>
        <w:rPr>
          <w:rFonts w:ascii="仿宋_GB2312" w:eastAsia="仿宋_GB2312"/>
        </w:rPr>
      </w:pPr>
    </w:p>
    <w:p>
      <w:pPr>
        <w:widowControl/>
        <w:jc w:val="left"/>
        <w:rPr>
          <w:rFonts w:ascii="仿宋_GB2312" w:eastAsia="仿宋_GB2312"/>
        </w:rPr>
      </w:pPr>
    </w:p>
    <w:p>
      <w:pPr>
        <w:widowControl/>
        <w:jc w:val="left"/>
        <w:rPr>
          <w:rFonts w:ascii="仿宋_GB2312" w:eastAsia="仿宋_GB2312"/>
        </w:rPr>
      </w:pPr>
    </w:p>
    <w:p>
      <w:pPr>
        <w:widowControl/>
        <w:jc w:val="left"/>
        <w:rPr>
          <w:rFonts w:ascii="仿宋_GB2312" w:eastAsia="仿宋_GB2312"/>
        </w:rPr>
      </w:pPr>
    </w:p>
    <w:p>
      <w:pPr>
        <w:widowControl/>
        <w:jc w:val="left"/>
        <w:rPr>
          <w:rFonts w:ascii="仿宋_GB2312" w:eastAsia="仿宋_GB2312"/>
        </w:rPr>
      </w:pPr>
    </w:p>
    <w:p>
      <w:pPr>
        <w:widowControl/>
        <w:jc w:val="left"/>
        <w:rPr>
          <w:rFonts w:ascii="仿宋_GB2312" w:eastAsia="仿宋_GB2312"/>
        </w:rPr>
      </w:pPr>
    </w:p>
    <w:p>
      <w:pPr>
        <w:widowControl/>
        <w:jc w:val="left"/>
        <w:rPr>
          <w:rFonts w:ascii="仿宋_GB2312" w:eastAsia="仿宋_GB2312"/>
        </w:rPr>
      </w:pPr>
    </w:p>
    <w:p>
      <w:pPr>
        <w:widowControl/>
        <w:jc w:val="left"/>
        <w:rPr>
          <w:rFonts w:ascii="仿宋_GB2312" w:eastAsia="仿宋_GB2312"/>
        </w:rPr>
      </w:pPr>
      <w:r>
        <w:rPr>
          <w:rFonts w:ascii="仿宋_GB2312" w:eastAsia="仿宋_GB2312"/>
        </w:rPr>
        <w:br w:type="page"/>
      </w:r>
    </w:p>
    <w:p>
      <w:pPr>
        <w:pStyle w:val="2"/>
        <w:spacing w:before="0" w:after="0" w:line="360" w:lineRule="auto"/>
        <w:jc w:val="center"/>
        <w:rPr>
          <w:rFonts w:ascii="宋体" w:eastAsia="宋体"/>
          <w:b w:val="0"/>
          <w:sz w:val="30"/>
          <w:szCs w:val="30"/>
        </w:rPr>
      </w:pPr>
      <w:r>
        <w:rPr>
          <w:rFonts w:hint="eastAsia" w:ascii="宋体" w:eastAsia="宋体"/>
          <w:sz w:val="30"/>
          <w:szCs w:val="30"/>
        </w:rPr>
        <w:t>合同附件：标准操作程序</w:t>
      </w:r>
    </w:p>
    <w:p>
      <w:pPr>
        <w:spacing w:afterLines="50"/>
        <w:rPr>
          <w:rFonts w:ascii="仿宋_GB2312" w:eastAsia="仿宋_GB2312"/>
        </w:rPr>
      </w:pPr>
      <w:r>
        <w:rPr>
          <w:rFonts w:hint="eastAsia" w:ascii="仿宋_GB2312" w:eastAsia="仿宋_GB2312"/>
        </w:rPr>
        <w:t>OI 模板</w:t>
      </w:r>
    </w:p>
    <w:p>
      <w:pPr>
        <w:spacing w:afterLines="50"/>
        <w:rPr>
          <w:rFonts w:ascii="仿宋_GB2312" w:eastAsia="仿宋_GB2312"/>
        </w:rPr>
      </w:pPr>
      <w:r>
        <w:rPr>
          <w:rFonts w:hint="eastAsia" w:ascii="仿宋_GB2312" w:eastAsia="仿宋_GB2312"/>
        </w:rPr>
        <w:t>1 应用</w:t>
      </w:r>
    </w:p>
    <w:p>
      <w:pPr>
        <w:spacing w:afterLines="50"/>
        <w:rPr>
          <w:rFonts w:ascii="仿宋_GB2312" w:eastAsia="仿宋_GB2312"/>
        </w:rPr>
      </w:pPr>
      <w:r>
        <w:rPr>
          <w:rFonts w:hint="eastAsia" w:ascii="仿宋_GB2312" w:eastAsia="仿宋_GB2312"/>
        </w:rPr>
        <w:t>1.1 目的</w:t>
      </w:r>
    </w:p>
    <w:p>
      <w:pPr>
        <w:spacing w:afterLines="50"/>
        <w:rPr>
          <w:rFonts w:ascii="仿宋_GB2312" w:eastAsia="仿宋_GB2312"/>
        </w:rPr>
      </w:pPr>
      <w:r>
        <w:rPr>
          <w:rFonts w:hint="eastAsia" w:ascii="仿宋_GB2312" w:eastAsia="仿宋_GB2312"/>
        </w:rPr>
        <w:t>本 OI 用于指导临江仓库与下沙工厂之间短驳运输的相关操作。</w:t>
      </w:r>
    </w:p>
    <w:p>
      <w:pPr>
        <w:spacing w:afterLines="50"/>
        <w:rPr>
          <w:rFonts w:ascii="仿宋_GB2312" w:eastAsia="仿宋_GB2312"/>
        </w:rPr>
      </w:pPr>
      <w:r>
        <w:rPr>
          <w:rFonts w:hint="eastAsia" w:ascii="仿宋_GB2312" w:eastAsia="仿宋_GB2312"/>
        </w:rPr>
        <w:t>1.2 范围</w:t>
      </w:r>
    </w:p>
    <w:p>
      <w:pPr>
        <w:spacing w:afterLines="50"/>
        <w:rPr>
          <w:rFonts w:ascii="仿宋_GB2312" w:eastAsia="仿宋_GB2312"/>
        </w:rPr>
      </w:pPr>
      <w:r>
        <w:rPr>
          <w:rFonts w:hint="eastAsia" w:ascii="仿宋_GB2312" w:eastAsia="仿宋_GB2312"/>
        </w:rPr>
        <w:t>本OI适用于杭州下沙工厂与临江仓库之间的物料运输，除易燃易爆等危险品及国家禁运物</w:t>
      </w:r>
    </w:p>
    <w:p>
      <w:pPr>
        <w:spacing w:afterLines="50"/>
        <w:rPr>
          <w:rFonts w:ascii="仿宋_GB2312" w:eastAsia="仿宋_GB2312"/>
        </w:rPr>
      </w:pPr>
      <w:r>
        <w:rPr>
          <w:rFonts w:hint="eastAsia" w:ascii="仿宋_GB2312" w:eastAsia="仿宋_GB2312"/>
        </w:rPr>
        <w:t>品以外的所有物品。</w:t>
      </w:r>
    </w:p>
    <w:p>
      <w:pPr>
        <w:spacing w:afterLines="50"/>
        <w:rPr>
          <w:rFonts w:ascii="仿宋_GB2312" w:eastAsia="仿宋_GB2312"/>
        </w:rPr>
      </w:pPr>
      <w:r>
        <w:rPr>
          <w:rFonts w:hint="eastAsia" w:ascii="仿宋_GB2312" w:eastAsia="仿宋_GB2312"/>
        </w:rPr>
        <w:t>2 安全与环境注意事项</w:t>
      </w:r>
    </w:p>
    <w:p>
      <w:pPr>
        <w:spacing w:afterLines="50"/>
        <w:rPr>
          <w:rFonts w:ascii="仿宋_GB2312" w:eastAsia="仿宋_GB2312"/>
        </w:rPr>
      </w:pPr>
      <w:r>
        <w:rPr>
          <w:rFonts w:hint="eastAsia" w:ascii="仿宋_GB2312" w:eastAsia="仿宋_GB2312"/>
        </w:rPr>
        <w:t>物料操作员在操作时必须使用个人防护用品，应采用正确的动作和姿势，防止出现损伤。</w:t>
      </w:r>
    </w:p>
    <w:p>
      <w:pPr>
        <w:spacing w:afterLines="50"/>
        <w:rPr>
          <w:rFonts w:ascii="仿宋_GB2312" w:eastAsia="仿宋_GB2312"/>
        </w:rPr>
      </w:pPr>
      <w:r>
        <w:rPr>
          <w:rFonts w:hint="eastAsia" w:ascii="仿宋_GB2312" w:eastAsia="仿宋_GB2312"/>
        </w:rPr>
        <w:t>转移和存放物料时，切勿将物料阻挡安全通道和安全门，以妨碍紧急撤离。</w:t>
      </w:r>
    </w:p>
    <w:p>
      <w:pPr>
        <w:spacing w:afterLines="50"/>
        <w:rPr>
          <w:rFonts w:ascii="仿宋_GB2312" w:eastAsia="仿宋_GB2312"/>
        </w:rPr>
      </w:pPr>
      <w:r>
        <w:rPr>
          <w:rFonts w:hint="eastAsia" w:ascii="仿宋_GB2312" w:eastAsia="仿宋_GB2312"/>
        </w:rPr>
        <w:t>正确使用各种叉车，防止对自身和他人造成伤害。未经过培训及考核的人员严禁使用叉车。</w:t>
      </w:r>
    </w:p>
    <w:p>
      <w:pPr>
        <w:spacing w:afterLines="50"/>
        <w:rPr>
          <w:rFonts w:ascii="仿宋_GB2312" w:eastAsia="仿宋_GB2312"/>
        </w:rPr>
      </w:pPr>
      <w:r>
        <w:rPr>
          <w:rFonts w:hint="eastAsia" w:ascii="仿宋_GB2312" w:eastAsia="仿宋_GB2312"/>
        </w:rPr>
        <w:t>使用结束后的电子温度计属于电子垃圾，不可随意丢弃，需由仓库统一回收处理。</w:t>
      </w:r>
    </w:p>
    <w:p>
      <w:pPr>
        <w:spacing w:afterLines="50"/>
        <w:rPr>
          <w:rFonts w:ascii="仿宋_GB2312" w:eastAsia="仿宋_GB2312"/>
        </w:rPr>
      </w:pPr>
      <w:r>
        <w:rPr>
          <w:rFonts w:hint="eastAsia" w:ascii="仿宋_GB2312" w:eastAsia="仿宋_GB2312"/>
        </w:rPr>
        <w:t>3 职责</w:t>
      </w:r>
    </w:p>
    <w:p>
      <w:pPr>
        <w:spacing w:afterLines="50"/>
        <w:rPr>
          <w:rFonts w:ascii="仿宋_GB2312" w:eastAsia="仿宋_GB2312"/>
        </w:rPr>
      </w:pPr>
      <w:r>
        <w:rPr>
          <w:rFonts w:hint="eastAsia" w:ascii="仿宋_GB2312" w:eastAsia="仿宋_GB2312"/>
        </w:rPr>
        <w:t>物料员： 据程序的要求，将物料装载进短驳车或从短驳车上卸载物料。</w:t>
      </w:r>
    </w:p>
    <w:p>
      <w:pPr>
        <w:spacing w:afterLines="50"/>
        <w:rPr>
          <w:rFonts w:ascii="仿宋_GB2312" w:eastAsia="仿宋_GB2312"/>
        </w:rPr>
      </w:pPr>
      <w:r>
        <w:rPr>
          <w:rFonts w:hint="eastAsia" w:ascii="仿宋_GB2312" w:eastAsia="仿宋_GB2312"/>
        </w:rPr>
        <w:t>短驳司机： 负责在运输途中安全驾驶，确保交接前后车辆封志完好，避免由于不当驾驶导致的</w:t>
      </w:r>
    </w:p>
    <w:p>
      <w:pPr>
        <w:spacing w:afterLines="50"/>
        <w:rPr>
          <w:rFonts w:ascii="仿宋_GB2312" w:eastAsia="仿宋_GB2312"/>
        </w:rPr>
      </w:pPr>
      <w:r>
        <w:rPr>
          <w:rFonts w:hint="eastAsia" w:ascii="仿宋_GB2312" w:eastAsia="仿宋_GB2312"/>
        </w:rPr>
        <w:t>货物破损。</w:t>
      </w:r>
    </w:p>
    <w:p>
      <w:pPr>
        <w:spacing w:afterLines="50"/>
        <w:rPr>
          <w:rFonts w:ascii="仿宋_GB2312" w:eastAsia="仿宋_GB2312"/>
        </w:rPr>
      </w:pPr>
      <w:r>
        <w:rPr>
          <w:rFonts w:hint="eastAsia" w:ascii="仿宋_GB2312" w:eastAsia="仿宋_GB2312"/>
        </w:rPr>
        <w:t>仓库管理人员： 确保程序的有效实施与更新，保证异常情况的及时处理和沟通。</w:t>
      </w:r>
    </w:p>
    <w:p>
      <w:pPr>
        <w:spacing w:afterLines="50"/>
        <w:rPr>
          <w:rFonts w:ascii="仿宋_GB2312" w:eastAsia="仿宋_GB2312"/>
        </w:rPr>
      </w:pPr>
      <w:r>
        <w:rPr>
          <w:rFonts w:hint="eastAsia" w:ascii="仿宋_GB2312" w:eastAsia="仿宋_GB2312"/>
        </w:rPr>
        <w:t>质量部： 负责指导本程序的制定和实施，以及评估异常情况对物料质量的影响。</w:t>
      </w:r>
    </w:p>
    <w:p>
      <w:pPr>
        <w:spacing w:afterLines="50"/>
        <w:rPr>
          <w:rFonts w:ascii="仿宋_GB2312" w:eastAsia="仿宋_GB2312"/>
        </w:rPr>
      </w:pPr>
      <w:r>
        <w:rPr>
          <w:rFonts w:hint="eastAsia" w:ascii="仿宋_GB2312" w:eastAsia="仿宋_GB2312"/>
        </w:rPr>
        <w:t>4 程序</w:t>
      </w:r>
    </w:p>
    <w:p>
      <w:pPr>
        <w:spacing w:afterLines="50"/>
        <w:rPr>
          <w:rFonts w:ascii="仿宋_GB2312" w:eastAsia="仿宋_GB2312"/>
        </w:rPr>
      </w:pPr>
      <w:r>
        <w:rPr>
          <w:rFonts w:hint="eastAsia" w:ascii="仿宋_GB2312" w:eastAsia="仿宋_GB2312"/>
        </w:rPr>
        <w:t>4.1 短驳车基本要求</w:t>
      </w:r>
    </w:p>
    <w:p>
      <w:pPr>
        <w:spacing w:afterLines="50"/>
        <w:rPr>
          <w:rFonts w:ascii="仿宋_GB2312" w:eastAsia="仿宋_GB2312"/>
        </w:rPr>
      </w:pPr>
      <w:r>
        <w:rPr>
          <w:rFonts w:hint="eastAsia" w:ascii="仿宋_GB2312" w:eastAsia="仿宋_GB2312"/>
        </w:rPr>
        <w:t>4.1.1 下沙工厂与临江仓库之间的短驳运输遵循合同以及规定线路进行。</w:t>
      </w:r>
    </w:p>
    <w:p>
      <w:pPr>
        <w:spacing w:afterLines="50"/>
        <w:rPr>
          <w:rFonts w:ascii="仿宋_GB2312" w:eastAsia="仿宋_GB2312"/>
        </w:rPr>
      </w:pPr>
      <w:r>
        <w:rPr>
          <w:rFonts w:hint="eastAsia" w:ascii="仿宋_GB2312" w:eastAsia="仿宋_GB2312"/>
        </w:rPr>
        <w:t>4.1.2司机发车前需围绕车辆检查,确保车辆状况良好.</w:t>
      </w:r>
    </w:p>
    <w:p>
      <w:pPr>
        <w:spacing w:afterLines="50"/>
        <w:rPr>
          <w:rFonts w:ascii="仿宋_GB2312" w:eastAsia="仿宋_GB2312"/>
        </w:rPr>
      </w:pPr>
      <w:r>
        <w:rPr>
          <w:rFonts w:hint="eastAsia" w:ascii="仿宋_GB2312" w:eastAsia="仿宋_GB2312"/>
        </w:rPr>
        <w:t>4.1.3短驳车应该满足干净、整洁、无污染、全封闭、防雨防盗的要求，车辆地板及箱体光滑、平整、不变形。</w:t>
      </w:r>
    </w:p>
    <w:p>
      <w:pPr>
        <w:spacing w:afterLines="50"/>
        <w:rPr>
          <w:rFonts w:ascii="仿宋_GB2312" w:eastAsia="仿宋_GB2312"/>
        </w:rPr>
      </w:pPr>
      <w:r>
        <w:rPr>
          <w:rFonts w:hint="eastAsia" w:ascii="仿宋_GB2312" w:eastAsia="仿宋_GB2312"/>
        </w:rPr>
        <w:t>4.2 货物装载要求</w:t>
      </w:r>
    </w:p>
    <w:p>
      <w:pPr>
        <w:spacing w:afterLines="50"/>
        <w:rPr>
          <w:rFonts w:ascii="仿宋_GB2312" w:eastAsia="仿宋_GB2312"/>
        </w:rPr>
      </w:pPr>
      <w:r>
        <w:rPr>
          <w:rFonts w:hint="eastAsia" w:ascii="仿宋_GB2312" w:eastAsia="仿宋_GB2312"/>
        </w:rPr>
        <w:t>4.2.1 运输货物重量不能超过车辆额定载重量；</w:t>
      </w:r>
    </w:p>
    <w:p>
      <w:pPr>
        <w:spacing w:afterLines="50"/>
        <w:rPr>
          <w:rFonts w:ascii="仿宋_GB2312" w:eastAsia="仿宋_GB2312"/>
        </w:rPr>
      </w:pPr>
      <w:r>
        <w:rPr>
          <w:rFonts w:hint="eastAsia" w:ascii="仿宋_GB2312" w:eastAsia="仿宋_GB2312"/>
        </w:rPr>
        <w:t>4.2.2 仓库装载货物之前，需要先清洁车厢，确保车厢内干净、无污染，箱体完好无破损；</w:t>
      </w:r>
    </w:p>
    <w:p>
      <w:pPr>
        <w:spacing w:afterLines="50"/>
        <w:rPr>
          <w:rFonts w:ascii="仿宋_GB2312" w:eastAsia="仿宋_GB2312"/>
        </w:rPr>
      </w:pPr>
      <w:r>
        <w:rPr>
          <w:rFonts w:hint="eastAsia" w:ascii="仿宋_GB2312" w:eastAsia="仿宋_GB2312"/>
        </w:rPr>
        <w:t>4.2.3 双层叠放货物时在上下层之间应该放置隔板，遵循小件货物在上大件货物在下，重量轻的货物在上重的货物在下的原则，且叠放高度不可超过车厢两侧的警示线。</w:t>
      </w:r>
    </w:p>
    <w:p>
      <w:pPr>
        <w:spacing w:afterLines="50"/>
        <w:rPr>
          <w:rFonts w:ascii="仿宋_GB2312" w:eastAsia="仿宋_GB2312"/>
        </w:rPr>
      </w:pPr>
      <w:r>
        <w:rPr>
          <w:rFonts w:hint="eastAsia" w:ascii="仿宋_GB2312" w:eastAsia="仿宋_GB2312"/>
        </w:rPr>
        <w:t>4.2.4 对于容易从托盘滑落的物品，装载人员应该进行固定，防止撞击和侧滑；</w:t>
      </w:r>
    </w:p>
    <w:p>
      <w:pPr>
        <w:spacing w:afterLines="50"/>
        <w:rPr>
          <w:rFonts w:ascii="仿宋_GB2312" w:eastAsia="仿宋_GB2312"/>
        </w:rPr>
      </w:pPr>
      <w:r>
        <w:rPr>
          <w:rFonts w:hint="eastAsia" w:ascii="仿宋_GB2312" w:eastAsia="仿宋_GB2312"/>
        </w:rPr>
        <w:t>4.2.5 短驳车内空间有限，制造物料在短驳车内允许在一个托盘上混储，并且制造物料需放置在短驳车靠近车厢门位置。</w:t>
      </w:r>
    </w:p>
    <w:p>
      <w:pPr>
        <w:spacing w:afterLines="50"/>
        <w:rPr>
          <w:rFonts w:ascii="仿宋_GB2312" w:eastAsia="仿宋_GB2312"/>
        </w:rPr>
      </w:pPr>
      <w:r>
        <w:rPr>
          <w:rFonts w:hint="eastAsia" w:ascii="仿宋_GB2312" w:eastAsia="仿宋_GB2312"/>
        </w:rPr>
        <w:t>4.2.6货物装载完毕，装车人员将防护网贴近货物并扣入车壁拉紧，使货物固定住；</w:t>
      </w:r>
    </w:p>
    <w:p>
      <w:pPr>
        <w:spacing w:afterLines="50"/>
        <w:rPr>
          <w:rFonts w:ascii="仿宋_GB2312" w:eastAsia="仿宋_GB2312"/>
        </w:rPr>
      </w:pPr>
      <w:r>
        <w:rPr>
          <w:rFonts w:hint="eastAsia" w:ascii="仿宋_GB2312" w:eastAsia="仿宋_GB2312"/>
        </w:rPr>
        <w:t>4.2.7装载人员在《物料转运单》上记录装运的货物信息、封志编号。装车完毕，应将短驳车厢用记录的封志上锁。若短驳车在 IPT 完成装载后，还需要到制造装货时，封志待制造装车完毕后再上锁。</w:t>
      </w:r>
    </w:p>
    <w:p>
      <w:pPr>
        <w:spacing w:afterLines="50"/>
        <w:rPr>
          <w:rFonts w:ascii="仿宋_GB2312" w:eastAsia="仿宋_GB2312"/>
        </w:rPr>
      </w:pPr>
      <w:r>
        <w:rPr>
          <w:rFonts w:hint="eastAsia" w:ascii="仿宋_GB2312" w:eastAsia="仿宋_GB2312"/>
        </w:rPr>
        <w:t>OI名称 短驳运输操作指导</w:t>
      </w:r>
    </w:p>
    <w:p>
      <w:pPr>
        <w:spacing w:afterLines="50"/>
        <w:rPr>
          <w:rFonts w:ascii="仿宋_GB2312" w:eastAsia="仿宋_GB2312"/>
        </w:rPr>
      </w:pPr>
      <w:r>
        <w:rPr>
          <w:rFonts w:hint="eastAsia" w:ascii="仿宋_GB2312" w:eastAsia="仿宋_GB2312"/>
        </w:rPr>
        <w:t>OI 模板</w:t>
      </w:r>
    </w:p>
    <w:p>
      <w:pPr>
        <w:spacing w:afterLines="50"/>
        <w:rPr>
          <w:rFonts w:ascii="仿宋_GB2312" w:eastAsia="仿宋_GB2312"/>
        </w:rPr>
      </w:pPr>
      <w:r>
        <w:rPr>
          <w:rFonts w:hint="eastAsia" w:ascii="仿宋_GB2312" w:eastAsia="仿宋_GB2312"/>
        </w:rPr>
        <w:t>4.3 短驳司机提货操作</w:t>
      </w:r>
    </w:p>
    <w:p>
      <w:pPr>
        <w:spacing w:afterLines="50"/>
        <w:rPr>
          <w:rFonts w:ascii="仿宋_GB2312" w:eastAsia="仿宋_GB2312"/>
        </w:rPr>
      </w:pPr>
      <w:r>
        <w:rPr>
          <w:rFonts w:hint="eastAsia" w:ascii="仿宋_GB2312" w:eastAsia="仿宋_GB2312"/>
        </w:rPr>
        <w:t>4.3.1 负责短驳运输的司机需要完成安全相关的培训；司机到达仓库和工厂后需遵循相关规定。</w:t>
      </w:r>
    </w:p>
    <w:p>
      <w:pPr>
        <w:spacing w:afterLines="50"/>
        <w:rPr>
          <w:rFonts w:ascii="仿宋_GB2312" w:eastAsia="仿宋_GB2312"/>
        </w:rPr>
      </w:pPr>
      <w:r>
        <w:rPr>
          <w:rFonts w:hint="eastAsia" w:ascii="仿宋_GB2312" w:eastAsia="仿宋_GB2312"/>
        </w:rPr>
        <w:t>4.3.2 短驳车在工厂及仓库区域内限速 15 公里/小时；车辆需要停放在指定的区域；</w:t>
      </w:r>
    </w:p>
    <w:p>
      <w:pPr>
        <w:spacing w:afterLines="50"/>
        <w:rPr>
          <w:rFonts w:ascii="仿宋_GB2312" w:eastAsia="仿宋_GB2312"/>
        </w:rPr>
      </w:pPr>
      <w:r>
        <w:rPr>
          <w:rFonts w:hint="eastAsia" w:ascii="仿宋_GB2312" w:eastAsia="仿宋_GB2312"/>
        </w:rPr>
        <w:t>4.3.3 车辆到达工厂或仓库短驳卸货区域后，司机应立即通知物料操作员，并配合操作员进行操作。</w:t>
      </w:r>
    </w:p>
    <w:p>
      <w:pPr>
        <w:spacing w:afterLines="50"/>
        <w:rPr>
          <w:rFonts w:ascii="仿宋_GB2312" w:eastAsia="仿宋_GB2312"/>
        </w:rPr>
      </w:pPr>
      <w:r>
        <w:rPr>
          <w:rFonts w:hint="eastAsia" w:ascii="仿宋_GB2312" w:eastAsia="仿宋_GB2312"/>
        </w:rPr>
        <w:t>4.3.4 对于装有货物的车厢，司机应在物料操作员确认封志完好后剪开封志。</w:t>
      </w:r>
    </w:p>
    <w:p>
      <w:pPr>
        <w:spacing w:afterLines="50"/>
        <w:rPr>
          <w:rFonts w:ascii="仿宋_GB2312" w:eastAsia="仿宋_GB2312"/>
        </w:rPr>
      </w:pPr>
      <w:r>
        <w:rPr>
          <w:rFonts w:hint="eastAsia" w:ascii="仿宋_GB2312" w:eastAsia="仿宋_GB2312"/>
        </w:rPr>
        <w:t>4.3.5 箱式货车后门在打开后必须与车体栓接；只有在车门与箱体栓接或者关闭后，车辆方可在装卸货区域移动。</w:t>
      </w:r>
    </w:p>
    <w:p>
      <w:pPr>
        <w:spacing w:afterLines="50"/>
        <w:rPr>
          <w:rFonts w:ascii="仿宋_GB2312" w:eastAsia="仿宋_GB2312"/>
        </w:rPr>
      </w:pPr>
      <w:r>
        <w:rPr>
          <w:rFonts w:hint="eastAsia" w:ascii="仿宋_GB2312" w:eastAsia="仿宋_GB2312"/>
        </w:rPr>
        <w:t>4.3.6 箱式货车熄火并停靠在码头后，司机需要在规定的车轮处放置阻挡块或装上短驳车箱体挂钩，避免车辆向前滑动。车辆停放好后，司机将车钥匙（临江仓库适用）、物料转运单（如有）、封志（如有）交给物料操作员。</w:t>
      </w:r>
    </w:p>
    <w:p>
      <w:pPr>
        <w:spacing w:afterLines="50"/>
        <w:rPr>
          <w:rFonts w:ascii="仿宋_GB2312" w:eastAsia="仿宋_GB2312"/>
        </w:rPr>
      </w:pPr>
      <w:r>
        <w:rPr>
          <w:rFonts w:hint="eastAsia" w:ascii="仿宋_GB2312" w:eastAsia="仿宋_GB2312"/>
        </w:rPr>
        <w:t>4.3.7 换挂操作：短驳司机与物料员沟通确认需要进行换挂时，操作员及叉车不得进入车厢，司机确保支撑柱与地面牢固接触并安全完成甩挂后，通知物料操作员进行作业。</w:t>
      </w:r>
    </w:p>
    <w:p>
      <w:pPr>
        <w:spacing w:afterLines="50"/>
        <w:rPr>
          <w:rFonts w:ascii="仿宋_GB2312" w:eastAsia="仿宋_GB2312"/>
        </w:rPr>
      </w:pPr>
      <w:r>
        <w:rPr>
          <w:rFonts w:hint="eastAsia" w:ascii="仿宋_GB2312" w:eastAsia="仿宋_GB2312"/>
        </w:rPr>
        <w:t>4.3.8 短驳司机在物料操作员装载货物结束后，需要对车厢内货物进行目视检查，观察货物装载方法是否能最大限度的保障运输安全，发现风险立即向装车人员提出整改建议。司机装好封志，核对《物料转运单》上相应信息，无误后签字确认。</w:t>
      </w:r>
    </w:p>
    <w:p>
      <w:pPr>
        <w:spacing w:afterLines="50"/>
        <w:rPr>
          <w:rFonts w:ascii="仿宋_GB2312" w:eastAsia="仿宋_GB2312"/>
        </w:rPr>
      </w:pPr>
      <w:r>
        <w:rPr>
          <w:rFonts w:hint="eastAsia" w:ascii="仿宋_GB2312" w:eastAsia="仿宋_GB2312"/>
        </w:rPr>
        <w:t>4.4 货物在途运输</w:t>
      </w:r>
    </w:p>
    <w:p>
      <w:pPr>
        <w:spacing w:afterLines="50"/>
        <w:rPr>
          <w:rFonts w:ascii="仿宋_GB2312" w:eastAsia="仿宋_GB2312"/>
        </w:rPr>
      </w:pPr>
      <w:r>
        <w:rPr>
          <w:rFonts w:hint="eastAsia" w:ascii="仿宋_GB2312" w:eastAsia="仿宋_GB2312"/>
        </w:rPr>
        <w:t>4.4.1 短驳车在运输途中需要按照固定的运输线路行驶。如遇到特殊情况（如：封道、大雾、大雪等），承运商应立即通知浙航调度，并按照浙航调度与承运商达成一致的路线进行运输。</w:t>
      </w:r>
    </w:p>
    <w:p>
      <w:pPr>
        <w:spacing w:afterLines="50"/>
        <w:rPr>
          <w:rFonts w:ascii="仿宋_GB2312" w:eastAsia="仿宋_GB2312"/>
        </w:rPr>
      </w:pPr>
      <w:r>
        <w:rPr>
          <w:rFonts w:hint="eastAsia" w:ascii="仿宋_GB2312" w:eastAsia="仿宋_GB2312"/>
        </w:rPr>
        <w:t>4.4.2 车辆在运输途中发生抛锚等故障时，承运商应负责安排现场维修，并及时通知浙航调度。如果不能及时修复的，应尽快安排其他车辆完成运输。</w:t>
      </w:r>
    </w:p>
    <w:p>
      <w:pPr>
        <w:spacing w:afterLines="50"/>
        <w:rPr>
          <w:rFonts w:ascii="仿宋_GB2312" w:eastAsia="仿宋_GB2312"/>
        </w:rPr>
      </w:pPr>
      <w:r>
        <w:rPr>
          <w:rFonts w:hint="eastAsia" w:ascii="仿宋_GB2312" w:eastAsia="仿宋_GB2312"/>
        </w:rPr>
        <w:t>4.4.3 短驳车如果需要进行维修需要提前通知浙航调度，并安排经浙航调度书面确认合格的供应商车辆进行临时短驳运输。</w:t>
      </w:r>
    </w:p>
    <w:p>
      <w:pPr>
        <w:spacing w:afterLines="50"/>
        <w:rPr>
          <w:rFonts w:ascii="仿宋_GB2312" w:eastAsia="仿宋_GB2312"/>
        </w:rPr>
      </w:pPr>
      <w:r>
        <w:rPr>
          <w:rFonts w:hint="eastAsia" w:ascii="仿宋_GB2312" w:eastAsia="仿宋_GB2312"/>
        </w:rPr>
        <w:t>4.5 货物卸载</w:t>
      </w:r>
    </w:p>
    <w:p>
      <w:pPr>
        <w:spacing w:afterLines="50"/>
        <w:rPr>
          <w:rFonts w:ascii="仿宋_GB2312" w:eastAsia="仿宋_GB2312"/>
        </w:rPr>
      </w:pPr>
      <w:r>
        <w:rPr>
          <w:rFonts w:hint="eastAsia" w:ascii="仿宋_GB2312" w:eastAsia="仿宋_GB2312"/>
        </w:rPr>
        <w:t>4.5.1 装载货物的短驳车到达下沙工厂或临江仓库后，司机联系物料操作员，按照提货车辆要求固定好车厢，并将车钥匙（临江仓库适用）、物料转运单、封志交给物料操作员。</w:t>
      </w:r>
    </w:p>
    <w:p>
      <w:pPr>
        <w:spacing w:afterLines="50"/>
        <w:rPr>
          <w:rFonts w:ascii="仿宋_GB2312" w:eastAsia="仿宋_GB2312"/>
        </w:rPr>
      </w:pPr>
      <w:r>
        <w:rPr>
          <w:rFonts w:hint="eastAsia" w:ascii="仿宋_GB2312" w:eastAsia="仿宋_GB2312"/>
        </w:rPr>
        <w:t>4.5.2 物料操作员需记录车厢到达时间、封志情况。物料操作员需要检查车厢内的货物是否有受潮、变形、破损等情况。卸载完成，物料操作员需要核对货物与转运单上标注的是否一致，并对货物的外包装、标签等进行检查。工厂内属于监控区域，短驳车在制造卸货后，制造物料员无需再对车厢封志二次上锁。</w:t>
      </w:r>
    </w:p>
    <w:p>
      <w:pPr>
        <w:spacing w:afterLines="50"/>
        <w:rPr>
          <w:rFonts w:ascii="仿宋_GB2312" w:eastAsia="仿宋_GB2312"/>
        </w:rPr>
      </w:pPr>
      <w:r>
        <w:rPr>
          <w:rFonts w:hint="eastAsia" w:ascii="仿宋_GB2312" w:eastAsia="仿宋_GB2312"/>
        </w:rPr>
        <w:t>4.5.3 物料操作员检查完毕后，填写《物料转运单》接收人栏，并签名确认，如有必要，在备注栏内进行</w:t>
      </w:r>
    </w:p>
    <w:p>
      <w:pPr>
        <w:widowControl/>
        <w:jc w:val="left"/>
        <w:rPr>
          <w:rFonts w:ascii="仿宋_GB2312" w:eastAsia="仿宋_GB2312"/>
        </w:rPr>
      </w:pPr>
      <w:r>
        <w:rPr>
          <w:rFonts w:ascii="仿宋_GB2312" w:eastAsia="仿宋_GB2312"/>
        </w:rPr>
        <w:br w:type="page"/>
      </w:r>
    </w:p>
    <w:p>
      <w:pPr>
        <w:widowControl/>
        <w:jc w:val="left"/>
        <w:rPr>
          <w:rFonts w:ascii="仿宋_GB2312" w:eastAsia="仿宋_GB2312"/>
        </w:rPr>
      </w:pPr>
    </w:p>
    <w:p>
      <w:pPr>
        <w:pStyle w:val="2"/>
        <w:spacing w:before="0" w:after="0" w:line="360" w:lineRule="auto"/>
        <w:jc w:val="center"/>
        <w:rPr>
          <w:rFonts w:ascii="宋体" w:eastAsia="宋体"/>
          <w:sz w:val="30"/>
          <w:szCs w:val="30"/>
        </w:rPr>
      </w:pPr>
      <w:bookmarkStart w:id="33" w:name="OLE_LINK1"/>
      <w:r>
        <w:rPr>
          <w:rFonts w:hint="eastAsia" w:ascii="宋体" w:eastAsia="宋体"/>
          <w:sz w:val="30"/>
          <w:szCs w:val="30"/>
        </w:rPr>
        <w:t>合同附件：短驳车应急方案</w:t>
      </w:r>
    </w:p>
    <w:p>
      <w:pPr>
        <w:jc w:val="center"/>
        <w:rPr>
          <w:rFonts w:ascii="微软雅黑" w:hAnsi="微软雅黑" w:eastAsia="微软雅黑"/>
          <w:b/>
          <w:sz w:val="24"/>
          <w:szCs w:val="24"/>
        </w:rPr>
      </w:pPr>
    </w:p>
    <w:bookmarkEnd w:id="33"/>
    <w:tbl>
      <w:tblPr>
        <w:tblStyle w:val="25"/>
        <w:tblW w:w="9213"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8"/>
        <w:gridCol w:w="1058"/>
        <w:gridCol w:w="3666"/>
        <w:gridCol w:w="38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68" w:type="dxa"/>
            <w:vAlign w:val="center"/>
          </w:tcPr>
          <w:p>
            <w:pPr>
              <w:spacing w:before="100" w:beforeAutospacing="1" w:after="100" w:afterAutospacing="1" w:line="300" w:lineRule="exact"/>
              <w:jc w:val="center"/>
              <w:rPr>
                <w:rFonts w:ascii="微软雅黑" w:hAnsi="微软雅黑" w:eastAsia="微软雅黑" w:cs="Arial"/>
                <w:color w:val="auto"/>
                <w:sz w:val="24"/>
                <w:szCs w:val="24"/>
              </w:rPr>
            </w:pPr>
            <w:r>
              <w:rPr>
                <w:rFonts w:ascii="微软雅黑" w:hAnsi="微软雅黑" w:eastAsia="微软雅黑" w:cs="Arial"/>
                <w:color w:val="auto"/>
                <w:sz w:val="24"/>
                <w:szCs w:val="24"/>
              </w:rPr>
              <w:br w:type="page"/>
            </w:r>
            <w:r>
              <w:rPr>
                <w:rFonts w:hint="eastAsia" w:ascii="微软雅黑" w:hAnsi="微软雅黑" w:eastAsia="微软雅黑" w:cs="Arial"/>
                <w:color w:val="auto"/>
                <w:sz w:val="24"/>
                <w:szCs w:val="24"/>
              </w:rPr>
              <w:t>序号</w:t>
            </w:r>
          </w:p>
        </w:tc>
        <w:tc>
          <w:tcPr>
            <w:tcW w:w="1058" w:type="dxa"/>
            <w:vAlign w:val="center"/>
          </w:tcPr>
          <w:p>
            <w:pPr>
              <w:spacing w:before="100" w:beforeAutospacing="1" w:after="100" w:afterAutospacing="1" w:line="300" w:lineRule="exact"/>
              <w:jc w:val="center"/>
              <w:rPr>
                <w:rFonts w:ascii="微软雅黑" w:hAnsi="微软雅黑" w:eastAsia="微软雅黑" w:cs="Arial"/>
                <w:color w:val="auto"/>
                <w:sz w:val="24"/>
                <w:szCs w:val="24"/>
              </w:rPr>
            </w:pPr>
            <w:r>
              <w:rPr>
                <w:rFonts w:hint="eastAsia" w:ascii="微软雅黑" w:hAnsi="微软雅黑" w:eastAsia="微软雅黑" w:cs="Arial"/>
                <w:color w:val="auto"/>
                <w:sz w:val="24"/>
                <w:szCs w:val="24"/>
              </w:rPr>
              <w:t>车辆故障点</w:t>
            </w:r>
          </w:p>
        </w:tc>
        <w:tc>
          <w:tcPr>
            <w:tcW w:w="3666" w:type="dxa"/>
            <w:vAlign w:val="center"/>
          </w:tcPr>
          <w:p>
            <w:pPr>
              <w:spacing w:before="100" w:beforeAutospacing="1" w:after="100" w:afterAutospacing="1" w:line="300" w:lineRule="exact"/>
              <w:jc w:val="center"/>
              <w:rPr>
                <w:rFonts w:ascii="微软雅黑" w:hAnsi="微软雅黑" w:eastAsia="微软雅黑" w:cs="Arial"/>
                <w:color w:val="auto"/>
                <w:sz w:val="24"/>
                <w:szCs w:val="24"/>
              </w:rPr>
            </w:pPr>
            <w:r>
              <w:rPr>
                <w:rFonts w:hint="eastAsia" w:ascii="微软雅黑" w:hAnsi="微软雅黑" w:eastAsia="微软雅黑" w:cs="Arial"/>
                <w:color w:val="auto"/>
                <w:sz w:val="24"/>
                <w:szCs w:val="24"/>
              </w:rPr>
              <w:t>2小时内可恢复</w:t>
            </w:r>
          </w:p>
        </w:tc>
        <w:tc>
          <w:tcPr>
            <w:tcW w:w="3821" w:type="dxa"/>
            <w:vAlign w:val="center"/>
          </w:tcPr>
          <w:p>
            <w:pPr>
              <w:spacing w:before="100" w:beforeAutospacing="1" w:after="100" w:afterAutospacing="1" w:line="300" w:lineRule="exact"/>
              <w:jc w:val="center"/>
              <w:rPr>
                <w:rFonts w:ascii="微软雅黑" w:hAnsi="微软雅黑" w:eastAsia="微软雅黑" w:cs="Arial"/>
                <w:color w:val="auto"/>
                <w:sz w:val="24"/>
                <w:szCs w:val="24"/>
              </w:rPr>
            </w:pPr>
            <w:r>
              <w:rPr>
                <w:rFonts w:hint="eastAsia" w:ascii="微软雅黑" w:hAnsi="微软雅黑" w:eastAsia="微软雅黑" w:cs="Arial"/>
                <w:color w:val="auto"/>
                <w:sz w:val="24"/>
                <w:szCs w:val="24"/>
              </w:rPr>
              <w:t>2小时内无法恢复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6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w:t>
            </w:r>
          </w:p>
        </w:tc>
        <w:tc>
          <w:tcPr>
            <w:tcW w:w="105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轮胎故障</w:t>
            </w:r>
          </w:p>
        </w:tc>
        <w:tc>
          <w:tcPr>
            <w:tcW w:w="3666"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1、通报浙航调度；</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2、故障发生点就近紧急维修；</w:t>
            </w:r>
          </w:p>
        </w:tc>
        <w:tc>
          <w:tcPr>
            <w:tcW w:w="3821"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1、通报浙航调度；</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2、由调度中心联系协议维修单位杭州富越汽车修理有限公司到场进行修理；</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3、车头轮胎故障：经过浙航调度同意后，安排应急车头进行应急操作；</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4、车厢轮胎故障：经过浙航调度同意后，安排应急车辆进行应急操作；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6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w:t>
            </w:r>
          </w:p>
        </w:tc>
        <w:tc>
          <w:tcPr>
            <w:tcW w:w="105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车头故障</w:t>
            </w:r>
          </w:p>
        </w:tc>
        <w:tc>
          <w:tcPr>
            <w:tcW w:w="3666"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1、通报浙航调度；</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2、简单故障，故障发生点就近紧急维修；</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3、复杂故障，由调度中心联系协议维修单位杭州富越汽车修理有限公司到场进行修理；</w:t>
            </w:r>
          </w:p>
        </w:tc>
        <w:tc>
          <w:tcPr>
            <w:tcW w:w="3821"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1、通报浙航调度；</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2、由调度中心联系协议维修单位杭州富越汽车修理有限公司到场进行修理；</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3、经过浙航调度同意后，安排应急车辆进行应急操作；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6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3</w:t>
            </w:r>
          </w:p>
        </w:tc>
        <w:tc>
          <w:tcPr>
            <w:tcW w:w="105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车厢内部故障</w:t>
            </w:r>
          </w:p>
        </w:tc>
        <w:tc>
          <w:tcPr>
            <w:tcW w:w="3666"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1、通报浙航调度；</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2、轻微损伤，故障发生点就近紧急维修；</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3、不妨碍业务的待当天业务完成后回厂修理；</w:t>
            </w:r>
          </w:p>
        </w:tc>
        <w:tc>
          <w:tcPr>
            <w:tcW w:w="3821"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1、通报浙航调度；</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2、经过浙航调度同意后，由调度中心安排应急车辆进行应急操作；</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3、车厢直接回厂进行维修；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6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4</w:t>
            </w:r>
          </w:p>
        </w:tc>
        <w:tc>
          <w:tcPr>
            <w:tcW w:w="105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车厢外部故障</w:t>
            </w:r>
          </w:p>
        </w:tc>
        <w:tc>
          <w:tcPr>
            <w:tcW w:w="3666"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1、通报浙航调度；</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2、轻微损伤，故障发生点就近紧急维修；</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3、不妨碍业务的待当天业务完成后回厂修理；</w:t>
            </w:r>
          </w:p>
        </w:tc>
        <w:tc>
          <w:tcPr>
            <w:tcW w:w="3821"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1、通报浙航调度；</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2、经过浙航调度同意后，由调度中心安排应急车辆进行应急操作；</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3、车厢直接回厂进行维修；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6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5</w:t>
            </w:r>
          </w:p>
        </w:tc>
        <w:tc>
          <w:tcPr>
            <w:tcW w:w="105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换挂故障</w:t>
            </w:r>
          </w:p>
        </w:tc>
        <w:tc>
          <w:tcPr>
            <w:tcW w:w="3666"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1、通报浙航调度；</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2、购置备用零件存放在车辆工具箱内，发生故障立即进行更换；</w:t>
            </w:r>
          </w:p>
        </w:tc>
        <w:tc>
          <w:tcPr>
            <w:tcW w:w="3821"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1、通报浙航调度；</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2、经过浙航调度同意后，由调度中心安排应急车辆进行应急操作；</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3、由调度中心指派协议维修单位到场进行修理；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6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6</w:t>
            </w:r>
          </w:p>
        </w:tc>
        <w:tc>
          <w:tcPr>
            <w:tcW w:w="105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交通事故</w:t>
            </w:r>
          </w:p>
        </w:tc>
        <w:tc>
          <w:tcPr>
            <w:tcW w:w="3666"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1、通报浙航调度；</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2、简单事故快速处理；</w:t>
            </w:r>
          </w:p>
        </w:tc>
        <w:tc>
          <w:tcPr>
            <w:tcW w:w="3821"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1、通报浙航调度；</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2、经过浙航调度同意后，由调度中心安排应急车辆进行应急操作；</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3、配合交管部门进行现场处理；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6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7</w:t>
            </w:r>
          </w:p>
        </w:tc>
        <w:tc>
          <w:tcPr>
            <w:tcW w:w="105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车辆被交管扣车</w:t>
            </w:r>
          </w:p>
        </w:tc>
        <w:tc>
          <w:tcPr>
            <w:tcW w:w="7487" w:type="dxa"/>
            <w:gridSpan w:val="2"/>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1、专人负责涉及车辆的维保、年检、年审，保证车辆随时处于合规并符合短驳业务要求状态；</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2、通报浙航调度；</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3、经过浙航调度同意后，由调度中心安排应急车辆进行应急操作；</w:t>
            </w:r>
          </w:p>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4、配合交管部门进行处理；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6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8</w:t>
            </w:r>
          </w:p>
        </w:tc>
        <w:tc>
          <w:tcPr>
            <w:tcW w:w="105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司机身体原因</w:t>
            </w:r>
          </w:p>
        </w:tc>
        <w:tc>
          <w:tcPr>
            <w:tcW w:w="7487" w:type="dxa"/>
            <w:gridSpan w:val="2"/>
            <w:vAlign w:val="center"/>
          </w:tcPr>
          <w:p>
            <w:pPr>
              <w:pStyle w:val="42"/>
              <w:numPr>
                <w:ilvl w:val="0"/>
                <w:numId w:val="17"/>
              </w:numPr>
              <w:spacing w:before="100" w:beforeAutospacing="1" w:after="100" w:afterAutospacing="1" w:line="300" w:lineRule="exact"/>
              <w:ind w:firstLineChars="0"/>
              <w:rPr>
                <w:rFonts w:ascii="微软雅黑" w:hAnsi="微软雅黑" w:eastAsia="微软雅黑" w:cs="Arial"/>
                <w:color w:val="auto"/>
                <w:sz w:val="18"/>
                <w:szCs w:val="18"/>
              </w:rPr>
            </w:pPr>
            <w:r>
              <w:rPr>
                <w:rFonts w:hint="eastAsia" w:ascii="微软雅黑" w:hAnsi="微软雅黑" w:eastAsia="微软雅黑" w:cs="Arial"/>
                <w:color w:val="auto"/>
                <w:sz w:val="18"/>
                <w:szCs w:val="18"/>
              </w:rPr>
              <w:t>如运作过程中司机发生身体不适，立即暂停行驶并将车停靠路边，通报浙航调度；</w:t>
            </w:r>
          </w:p>
          <w:p>
            <w:pPr>
              <w:pStyle w:val="42"/>
              <w:numPr>
                <w:ilvl w:val="0"/>
                <w:numId w:val="17"/>
              </w:numPr>
              <w:spacing w:before="100" w:beforeAutospacing="1" w:after="100" w:afterAutospacing="1" w:line="300" w:lineRule="exact"/>
              <w:ind w:firstLineChars="0"/>
              <w:rPr>
                <w:rFonts w:ascii="微软雅黑" w:hAnsi="微软雅黑" w:eastAsia="微软雅黑" w:cs="Arial"/>
                <w:color w:val="auto"/>
                <w:sz w:val="18"/>
                <w:szCs w:val="18"/>
              </w:rPr>
            </w:pPr>
            <w:r>
              <w:rPr>
                <w:rFonts w:hint="eastAsia" w:ascii="微软雅黑" w:hAnsi="微软雅黑" w:eastAsia="微软雅黑" w:cs="Arial"/>
                <w:color w:val="auto"/>
                <w:sz w:val="18"/>
                <w:szCs w:val="18"/>
              </w:rPr>
              <w:t>在30分钟内，由调度中心安排其他接受过短驳业务培训的司机顶替作业；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6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9</w:t>
            </w:r>
          </w:p>
        </w:tc>
        <w:tc>
          <w:tcPr>
            <w:tcW w:w="105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司机休假原因</w:t>
            </w:r>
          </w:p>
        </w:tc>
        <w:tc>
          <w:tcPr>
            <w:tcW w:w="7487" w:type="dxa"/>
            <w:gridSpan w:val="2"/>
            <w:vAlign w:val="center"/>
          </w:tcPr>
          <w:p>
            <w:pPr>
              <w:pStyle w:val="42"/>
              <w:numPr>
                <w:ilvl w:val="0"/>
                <w:numId w:val="18"/>
              </w:numPr>
              <w:spacing w:before="100" w:beforeAutospacing="1" w:after="100" w:afterAutospacing="1" w:line="300" w:lineRule="exact"/>
              <w:ind w:firstLineChars="0"/>
              <w:rPr>
                <w:rFonts w:ascii="微软雅黑" w:hAnsi="微软雅黑" w:eastAsia="微软雅黑" w:cs="Arial"/>
                <w:color w:val="auto"/>
                <w:sz w:val="18"/>
                <w:szCs w:val="18"/>
              </w:rPr>
            </w:pPr>
            <w:r>
              <w:rPr>
                <w:rFonts w:hint="eastAsia" w:ascii="微软雅黑" w:hAnsi="微软雅黑" w:eastAsia="微软雅黑" w:cs="Arial"/>
                <w:color w:val="auto"/>
                <w:sz w:val="18"/>
                <w:szCs w:val="18"/>
              </w:rPr>
              <w:t>通报浙航调度；</w:t>
            </w:r>
          </w:p>
          <w:p>
            <w:pPr>
              <w:pStyle w:val="42"/>
              <w:numPr>
                <w:ilvl w:val="0"/>
                <w:numId w:val="18"/>
              </w:numPr>
              <w:spacing w:before="100" w:beforeAutospacing="1" w:after="100" w:afterAutospacing="1" w:line="300" w:lineRule="exact"/>
              <w:ind w:firstLineChars="0"/>
              <w:rPr>
                <w:rFonts w:ascii="微软雅黑" w:hAnsi="微软雅黑" w:eastAsia="微软雅黑" w:cs="Arial"/>
                <w:color w:val="auto"/>
                <w:sz w:val="18"/>
                <w:szCs w:val="18"/>
              </w:rPr>
            </w:pPr>
            <w:r>
              <w:rPr>
                <w:rFonts w:hint="eastAsia" w:ascii="微软雅黑" w:hAnsi="微软雅黑" w:eastAsia="微软雅黑" w:cs="Arial"/>
                <w:color w:val="auto"/>
                <w:sz w:val="18"/>
                <w:szCs w:val="18"/>
              </w:rPr>
              <w:t>由调度中心安排其他接受过短驳业务培训的司机顶替作业；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66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10</w:t>
            </w:r>
          </w:p>
        </w:tc>
        <w:tc>
          <w:tcPr>
            <w:tcW w:w="1058" w:type="dxa"/>
            <w:vAlign w:val="center"/>
          </w:tcPr>
          <w:p>
            <w:pPr>
              <w:spacing w:before="100" w:beforeAutospacing="1" w:after="100" w:afterAutospacing="1" w:line="300" w:lineRule="exact"/>
              <w:rPr>
                <w:rFonts w:ascii="微软雅黑" w:hAnsi="微软雅黑" w:eastAsia="微软雅黑" w:cs="Arial"/>
                <w:color w:val="auto"/>
                <w:sz w:val="18"/>
                <w:szCs w:val="18"/>
              </w:rPr>
            </w:pPr>
            <w:r>
              <w:rPr>
                <w:rFonts w:hint="eastAsia" w:ascii="微软雅黑" w:hAnsi="微软雅黑" w:eastAsia="微软雅黑" w:cs="Arial"/>
                <w:color w:val="auto"/>
                <w:sz w:val="18"/>
                <w:szCs w:val="18"/>
              </w:rPr>
              <w:t>江东大桥封道</w:t>
            </w:r>
          </w:p>
        </w:tc>
        <w:tc>
          <w:tcPr>
            <w:tcW w:w="7487" w:type="dxa"/>
            <w:gridSpan w:val="2"/>
            <w:vAlign w:val="center"/>
          </w:tcPr>
          <w:p>
            <w:pPr>
              <w:pStyle w:val="42"/>
              <w:numPr>
                <w:ilvl w:val="0"/>
                <w:numId w:val="19"/>
              </w:numPr>
              <w:spacing w:before="100" w:beforeAutospacing="1" w:after="100" w:afterAutospacing="1" w:line="300" w:lineRule="exact"/>
              <w:ind w:firstLineChars="0"/>
              <w:rPr>
                <w:rFonts w:ascii="微软雅黑" w:hAnsi="微软雅黑" w:eastAsia="微软雅黑" w:cs="Arial"/>
                <w:color w:val="auto"/>
                <w:sz w:val="18"/>
                <w:szCs w:val="18"/>
              </w:rPr>
            </w:pPr>
            <w:r>
              <w:rPr>
                <w:rFonts w:hint="eastAsia" w:ascii="微软雅黑" w:hAnsi="微软雅黑" w:eastAsia="微软雅黑" w:cs="Arial"/>
                <w:color w:val="auto"/>
                <w:sz w:val="18"/>
                <w:szCs w:val="18"/>
              </w:rPr>
              <w:t>通报浙航调度；</w:t>
            </w:r>
          </w:p>
          <w:p>
            <w:pPr>
              <w:pStyle w:val="42"/>
              <w:numPr>
                <w:ilvl w:val="0"/>
                <w:numId w:val="19"/>
              </w:numPr>
              <w:spacing w:before="100" w:beforeAutospacing="1" w:after="100" w:afterAutospacing="1" w:line="300" w:lineRule="exact"/>
              <w:ind w:firstLineChars="0"/>
              <w:rPr>
                <w:rFonts w:ascii="微软雅黑" w:hAnsi="微软雅黑" w:eastAsia="微软雅黑" w:cs="Arial"/>
                <w:color w:val="auto"/>
                <w:sz w:val="18"/>
                <w:szCs w:val="18"/>
              </w:rPr>
            </w:pPr>
            <w:r>
              <w:rPr>
                <w:rFonts w:hint="eastAsia" w:ascii="微软雅黑" w:hAnsi="微软雅黑" w:eastAsia="微软雅黑" w:cs="Arial"/>
                <w:color w:val="auto"/>
                <w:sz w:val="18"/>
                <w:szCs w:val="18"/>
              </w:rPr>
              <w:t>其它道路可行驶的，车辆进行绕行，保证正常运作；</w:t>
            </w:r>
          </w:p>
          <w:p>
            <w:pPr>
              <w:pStyle w:val="42"/>
              <w:numPr>
                <w:ilvl w:val="0"/>
                <w:numId w:val="19"/>
              </w:numPr>
              <w:spacing w:before="100" w:beforeAutospacing="1" w:after="100" w:afterAutospacing="1" w:line="300" w:lineRule="exact"/>
              <w:ind w:firstLineChars="0"/>
              <w:rPr>
                <w:rFonts w:ascii="微软雅黑" w:hAnsi="微软雅黑" w:eastAsia="微软雅黑" w:cs="Arial"/>
                <w:color w:val="auto"/>
                <w:sz w:val="18"/>
                <w:szCs w:val="18"/>
              </w:rPr>
            </w:pPr>
            <w:r>
              <w:rPr>
                <w:rFonts w:hint="eastAsia" w:ascii="微软雅黑" w:hAnsi="微软雅黑" w:eastAsia="微软雅黑" w:cs="Arial"/>
                <w:color w:val="auto"/>
                <w:sz w:val="18"/>
                <w:szCs w:val="18"/>
              </w:rPr>
              <w:t>其它道路也封闭时，通报浙航调度建议暂停运作，等待道路开通；</w:t>
            </w:r>
          </w:p>
        </w:tc>
      </w:tr>
    </w:tbl>
    <w:p/>
    <w:p>
      <w:pPr>
        <w:widowControl/>
        <w:jc w:val="left"/>
        <w:rPr>
          <w:rFonts w:ascii="仿宋_GB2312" w:eastAsia="仿宋_GB2312"/>
        </w:rPr>
      </w:pPr>
      <w:r>
        <w:rPr>
          <w:rFonts w:ascii="仿宋_GB2312" w:eastAsia="仿宋_GB2312"/>
        </w:rPr>
        <w:br w:type="page"/>
      </w:r>
    </w:p>
    <w:p>
      <w:pPr>
        <w:pStyle w:val="2"/>
        <w:spacing w:before="0" w:after="0" w:line="360" w:lineRule="auto"/>
        <w:jc w:val="center"/>
        <w:rPr>
          <w:rFonts w:ascii="宋体" w:eastAsia="宋体"/>
          <w:sz w:val="30"/>
          <w:szCs w:val="30"/>
        </w:rPr>
      </w:pPr>
      <w:r>
        <w:rPr>
          <w:rFonts w:hint="eastAsia" w:ascii="宋体" w:eastAsia="宋体"/>
          <w:sz w:val="30"/>
          <w:szCs w:val="30"/>
        </w:rPr>
        <w:t>合同附件：KPI考核表</w:t>
      </w:r>
    </w:p>
    <w:tbl>
      <w:tblPr>
        <w:tblStyle w:val="25"/>
        <w:tblW w:w="92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2"/>
        <w:gridCol w:w="1842"/>
        <w:gridCol w:w="1843"/>
        <w:gridCol w:w="1843"/>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3" w:hRule="atLeast"/>
        </w:trPr>
        <w:tc>
          <w:tcPr>
            <w:tcW w:w="1842"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考核项目</w:t>
            </w:r>
          </w:p>
        </w:tc>
        <w:tc>
          <w:tcPr>
            <w:tcW w:w="1842"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考核内容</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评分方法</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扣分/次</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2" w:type="dxa"/>
            <w:vMerge w:val="restart"/>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现场管理</w:t>
            </w:r>
          </w:p>
        </w:tc>
        <w:tc>
          <w:tcPr>
            <w:tcW w:w="1842"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人员符合现场管理规定</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客户投诉一次</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-5</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2" w:type="dxa"/>
            <w:vMerge w:val="continue"/>
          </w:tcPr>
          <w:p>
            <w:pPr>
              <w:widowControl/>
              <w:spacing w:before="100" w:beforeAutospacing="1" w:after="100" w:afterAutospacing="1"/>
              <w:jc w:val="left"/>
              <w:rPr>
                <w:rFonts w:ascii="仿宋_GB2312" w:hAnsi="Arial" w:eastAsia="仿宋_GB2312" w:cs="Arial"/>
                <w:color w:val="auto"/>
                <w:szCs w:val="32"/>
              </w:rPr>
            </w:pPr>
          </w:p>
        </w:tc>
        <w:tc>
          <w:tcPr>
            <w:tcW w:w="1842"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短驳车辆符合现场管理规定</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客户投诉一次</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-5</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2" w:type="dxa"/>
            <w:vMerge w:val="restart"/>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安全管理</w:t>
            </w:r>
          </w:p>
        </w:tc>
        <w:tc>
          <w:tcPr>
            <w:tcW w:w="1842"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按合同规定线路进行运输</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无异常情况或者未报备即变更运输线路一次</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-5</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2" w:type="dxa"/>
            <w:vMerge w:val="continue"/>
          </w:tcPr>
          <w:p>
            <w:pPr>
              <w:widowControl/>
              <w:spacing w:before="100" w:beforeAutospacing="1" w:after="100" w:afterAutospacing="1"/>
              <w:jc w:val="left"/>
              <w:rPr>
                <w:rFonts w:ascii="仿宋_GB2312" w:hAnsi="Arial" w:eastAsia="仿宋_GB2312" w:cs="Arial"/>
                <w:color w:val="auto"/>
                <w:szCs w:val="32"/>
              </w:rPr>
            </w:pPr>
          </w:p>
        </w:tc>
        <w:tc>
          <w:tcPr>
            <w:tcW w:w="1842"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安全零事故：包括库区操作，PPE佩戴，车辆进出库区安全等</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客户投诉一次</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-5</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2" w:type="dxa"/>
            <w:vMerge w:val="continue"/>
          </w:tcPr>
          <w:p>
            <w:pPr>
              <w:widowControl/>
              <w:spacing w:before="100" w:beforeAutospacing="1" w:after="100" w:afterAutospacing="1"/>
              <w:jc w:val="left"/>
              <w:rPr>
                <w:rFonts w:ascii="仿宋_GB2312" w:hAnsi="Arial" w:eastAsia="仿宋_GB2312" w:cs="Arial"/>
                <w:color w:val="auto"/>
                <w:szCs w:val="32"/>
              </w:rPr>
            </w:pPr>
          </w:p>
        </w:tc>
        <w:tc>
          <w:tcPr>
            <w:tcW w:w="1842"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车辆未及时维护保养及年审、年检等</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发现一次</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-5</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2" w:type="dxa"/>
            <w:vMerge w:val="restart"/>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质量管理</w:t>
            </w:r>
          </w:p>
        </w:tc>
        <w:tc>
          <w:tcPr>
            <w:tcW w:w="1842"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运输过程中由于不正常操作导致货物跌落、受损等</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发生一次</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-3</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2" w:type="dxa"/>
            <w:vMerge w:val="continue"/>
          </w:tcPr>
          <w:p>
            <w:pPr>
              <w:widowControl/>
              <w:spacing w:before="100" w:beforeAutospacing="1" w:after="100" w:afterAutospacing="1"/>
              <w:jc w:val="left"/>
              <w:rPr>
                <w:rFonts w:ascii="仿宋_GB2312" w:hAnsi="Arial" w:eastAsia="仿宋_GB2312" w:cs="Arial"/>
                <w:color w:val="auto"/>
                <w:szCs w:val="32"/>
              </w:rPr>
            </w:pPr>
          </w:p>
        </w:tc>
        <w:tc>
          <w:tcPr>
            <w:tcW w:w="1842"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随货单证未及时准确的进行签署、交接</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发生一次</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-1</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42"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服务管理</w:t>
            </w:r>
          </w:p>
        </w:tc>
        <w:tc>
          <w:tcPr>
            <w:tcW w:w="1842"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递交月度报告的及时率</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超时1日</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-1</w:t>
            </w:r>
          </w:p>
        </w:tc>
        <w:tc>
          <w:tcPr>
            <w:tcW w:w="1843" w:type="dxa"/>
          </w:tcPr>
          <w:p>
            <w:pPr>
              <w:widowControl/>
              <w:spacing w:before="100" w:beforeAutospacing="1" w:after="100" w:afterAutospacing="1"/>
              <w:jc w:val="left"/>
              <w:rPr>
                <w:rFonts w:ascii="仿宋_GB2312" w:hAnsi="Arial" w:eastAsia="仿宋_GB2312" w:cs="Arial"/>
                <w:color w:val="auto"/>
                <w:szCs w:val="32"/>
              </w:rPr>
            </w:pPr>
            <w:r>
              <w:rPr>
                <w:rFonts w:hint="eastAsia" w:ascii="仿宋_GB2312" w:hAnsi="Arial" w:eastAsia="仿宋_GB2312" w:cs="Arial"/>
                <w:color w:val="auto"/>
                <w:szCs w:val="32"/>
              </w:rPr>
              <w:t>10</w:t>
            </w:r>
          </w:p>
        </w:tc>
      </w:tr>
    </w:tbl>
    <w:p>
      <w:pPr>
        <w:pStyle w:val="31"/>
        <w:spacing w:line="360" w:lineRule="exact"/>
        <w:ind w:firstLine="0" w:firstLineChars="0"/>
        <w:jc w:val="left"/>
        <w:rPr>
          <w:rFonts w:ascii="宋体" w:hAnsi="宋体"/>
          <w:b/>
          <w:color w:val="auto"/>
          <w:sz w:val="22"/>
          <w:szCs w:val="22"/>
        </w:rPr>
      </w:pPr>
    </w:p>
    <w:p>
      <w:pPr>
        <w:widowControl/>
        <w:jc w:val="left"/>
        <w:rPr>
          <w:rFonts w:ascii="宋体" w:hAnsi="宋体"/>
          <w:b/>
          <w:sz w:val="22"/>
          <w:szCs w:val="22"/>
        </w:rPr>
      </w:pPr>
      <w:r>
        <w:rPr>
          <w:rFonts w:ascii="宋体" w:hAnsi="宋体"/>
          <w:b/>
          <w:sz w:val="22"/>
          <w:szCs w:val="22"/>
        </w:rPr>
        <w:br w:type="page"/>
      </w:r>
    </w:p>
    <w:p>
      <w:pPr>
        <w:pStyle w:val="2"/>
        <w:spacing w:before="0" w:after="0" w:line="360" w:lineRule="auto"/>
        <w:jc w:val="center"/>
        <w:rPr>
          <w:rFonts w:ascii="宋体" w:eastAsia="宋体"/>
          <w:sz w:val="44"/>
          <w:szCs w:val="44"/>
        </w:rPr>
      </w:pPr>
      <w:bookmarkStart w:id="34" w:name="_Toc321925456"/>
      <w:bookmarkStart w:id="35" w:name="_Toc448002987"/>
      <w:r>
        <w:rPr>
          <w:rFonts w:ascii="宋体" w:eastAsia="宋体"/>
          <w:sz w:val="44"/>
          <w:szCs w:val="44"/>
        </w:rPr>
        <w:t>第</w:t>
      </w:r>
      <w:r>
        <w:rPr>
          <w:rFonts w:hint="eastAsia" w:ascii="宋体" w:eastAsia="宋体"/>
          <w:sz w:val="44"/>
          <w:szCs w:val="44"/>
        </w:rPr>
        <w:t>四</w:t>
      </w:r>
      <w:r>
        <w:rPr>
          <w:rFonts w:ascii="宋体" w:eastAsia="宋体"/>
          <w:sz w:val="44"/>
          <w:szCs w:val="44"/>
        </w:rPr>
        <w:t>章  评标方法及标准</w:t>
      </w:r>
      <w:bookmarkEnd w:id="34"/>
      <w:bookmarkEnd w:id="35"/>
    </w:p>
    <w:p>
      <w:pPr>
        <w:pStyle w:val="7"/>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7"/>
        <w:spacing w:line="360" w:lineRule="exact"/>
        <w:rPr>
          <w:rFonts w:hAnsi="宋体" w:cs="Calibri"/>
          <w:b/>
          <w:bCs/>
          <w:sz w:val="22"/>
          <w:szCs w:val="22"/>
        </w:rPr>
      </w:pPr>
      <w:r>
        <w:rPr>
          <w:rFonts w:hAnsi="宋体" w:cs="Calibri"/>
          <w:b/>
          <w:bCs/>
          <w:sz w:val="22"/>
          <w:szCs w:val="22"/>
        </w:rPr>
        <w:t>一、评标原则</w:t>
      </w:r>
    </w:p>
    <w:p>
      <w:pPr>
        <w:pStyle w:val="7"/>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7"/>
        <w:spacing w:line="360" w:lineRule="exact"/>
        <w:rPr>
          <w:rFonts w:hAnsi="宋体" w:cs="Calibri"/>
          <w:b/>
          <w:bCs/>
          <w:sz w:val="22"/>
          <w:szCs w:val="22"/>
        </w:rPr>
      </w:pPr>
      <w:r>
        <w:rPr>
          <w:rFonts w:hAnsi="宋体" w:cs="Calibri"/>
          <w:b/>
          <w:bCs/>
          <w:sz w:val="22"/>
          <w:szCs w:val="22"/>
        </w:rPr>
        <w:t>二、评标组织</w:t>
      </w:r>
    </w:p>
    <w:p>
      <w:pPr>
        <w:pStyle w:val="7"/>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7"/>
        <w:spacing w:line="360" w:lineRule="exact"/>
        <w:rPr>
          <w:rFonts w:hAnsi="宋体" w:cs="Calibri"/>
          <w:b/>
          <w:bCs/>
          <w:sz w:val="22"/>
          <w:szCs w:val="22"/>
        </w:rPr>
      </w:pPr>
      <w:r>
        <w:rPr>
          <w:rFonts w:hAnsi="宋体" w:cs="Calibri"/>
          <w:b/>
          <w:bCs/>
          <w:sz w:val="22"/>
          <w:szCs w:val="22"/>
        </w:rPr>
        <w:t>三、投标文件的评审</w:t>
      </w:r>
    </w:p>
    <w:p>
      <w:pPr>
        <w:pStyle w:val="7"/>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7"/>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7"/>
        <w:numPr>
          <w:ilvl w:val="0"/>
          <w:numId w:val="20"/>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7"/>
        <w:numPr>
          <w:ilvl w:val="0"/>
          <w:numId w:val="20"/>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7"/>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7"/>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7"/>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7"/>
        <w:spacing w:line="360" w:lineRule="exact"/>
        <w:rPr>
          <w:rFonts w:hAnsi="宋体" w:cs="Calibri"/>
          <w:b/>
          <w:sz w:val="22"/>
          <w:szCs w:val="22"/>
        </w:rPr>
      </w:pPr>
      <w:r>
        <w:rPr>
          <w:rFonts w:hAnsi="宋体" w:cs="Calibri"/>
          <w:b/>
          <w:sz w:val="22"/>
          <w:szCs w:val="22"/>
        </w:rPr>
        <w:t>3.</w:t>
      </w:r>
      <w:r>
        <w:rPr>
          <w:rFonts w:hint="eastAsia" w:hAnsi="宋体" w:cs="Calibri"/>
          <w:b/>
          <w:sz w:val="22"/>
          <w:szCs w:val="22"/>
        </w:rPr>
        <w:t>3确定</w:t>
      </w:r>
      <w:r>
        <w:rPr>
          <w:rFonts w:hAnsi="宋体" w:cs="Calibri"/>
          <w:b/>
          <w:sz w:val="22"/>
          <w:szCs w:val="22"/>
        </w:rPr>
        <w:t>中标候选人</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3.3.1</w:t>
      </w:r>
      <w:r>
        <w:rPr>
          <w:rFonts w:hint="eastAsia" w:hAnsi="宋体" w:cs="Calibri"/>
          <w:color w:val="FF0000"/>
          <w:sz w:val="22"/>
          <w:szCs w:val="22"/>
        </w:rPr>
        <w:t>评标委员会按照经评审的价格从低到高推荐2名中标候选人</w:t>
      </w:r>
      <w:r>
        <w:rPr>
          <w:rFonts w:hint="eastAsia" w:hAnsi="宋体" w:cs="Calibri"/>
          <w:sz w:val="22"/>
          <w:szCs w:val="22"/>
        </w:rPr>
        <w:t>。</w:t>
      </w:r>
    </w:p>
    <w:p>
      <w:pPr>
        <w:pStyle w:val="7"/>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中标候选人因不可抗力之外的原因放弃中标权的，由于其放弃中标权而给招标人造成</w:t>
      </w:r>
      <w:r>
        <w:rPr>
          <w:rFonts w:hint="eastAsia" w:hAnsi="宋体" w:cs="Calibri"/>
          <w:sz w:val="22"/>
          <w:szCs w:val="22"/>
        </w:rPr>
        <w:t>损失</w:t>
      </w:r>
      <w:r>
        <w:rPr>
          <w:rFonts w:hAnsi="宋体" w:cs="Calibri"/>
          <w:sz w:val="22"/>
          <w:szCs w:val="22"/>
        </w:rPr>
        <w:t>，由放弃中标权的中标候选人承担。</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widowControl/>
        <w:jc w:val="left"/>
        <w:rPr>
          <w:rFonts w:ascii="Cambria" w:hAnsi="Cambria" w:eastAsia="黑体"/>
          <w:b/>
          <w:bCs/>
          <w:kern w:val="0"/>
          <w:sz w:val="32"/>
          <w:szCs w:val="32"/>
        </w:rPr>
      </w:pPr>
      <w:r>
        <w:br w:type="page"/>
      </w:r>
    </w:p>
    <w:p>
      <w:pPr>
        <w:pStyle w:val="31"/>
        <w:spacing w:line="360" w:lineRule="exact"/>
        <w:ind w:firstLine="0" w:firstLineChars="0"/>
        <w:jc w:val="left"/>
        <w:rPr>
          <w:rFonts w:ascii="宋体" w:hAnsi="宋体"/>
          <w:b/>
          <w:color w:val="auto"/>
          <w:sz w:val="22"/>
          <w:szCs w:val="22"/>
        </w:rPr>
      </w:pPr>
      <w:r>
        <w:rPr>
          <w:rFonts w:hint="eastAsia" w:ascii="宋体" w:hAnsi="宋体"/>
          <w:b/>
          <w:color w:val="auto"/>
          <w:sz w:val="22"/>
          <w:szCs w:val="22"/>
        </w:rPr>
        <w:t>附件：</w:t>
      </w:r>
    </w:p>
    <w:p>
      <w:pPr>
        <w:pStyle w:val="31"/>
        <w:spacing w:line="360" w:lineRule="exact"/>
        <w:ind w:firstLine="442"/>
        <w:jc w:val="left"/>
        <w:rPr>
          <w:rFonts w:ascii="宋体" w:hAnsi="宋体"/>
          <w:b/>
          <w:color w:val="auto"/>
          <w:sz w:val="22"/>
          <w:szCs w:val="22"/>
        </w:rPr>
      </w:pPr>
    </w:p>
    <w:p>
      <w:pPr>
        <w:pStyle w:val="31"/>
        <w:spacing w:line="360" w:lineRule="exact"/>
        <w:ind w:firstLine="562"/>
        <w:jc w:val="center"/>
        <w:rPr>
          <w:rFonts w:ascii="宋体" w:hAnsi="宋体"/>
          <w:b/>
          <w:color w:val="auto"/>
          <w:sz w:val="28"/>
          <w:szCs w:val="28"/>
        </w:rPr>
      </w:pPr>
      <w:r>
        <w:rPr>
          <w:rFonts w:hint="eastAsia" w:ascii="宋体" w:hAnsi="宋体"/>
          <w:b/>
          <w:color w:val="auto"/>
          <w:sz w:val="28"/>
          <w:szCs w:val="28"/>
        </w:rPr>
        <w:t>浙江航空开发有限责任公司廉洁自律承诺书</w:t>
      </w:r>
    </w:p>
    <w:p>
      <w:pPr>
        <w:pStyle w:val="32"/>
        <w:adjustRightInd w:val="0"/>
        <w:snapToGrid w:val="0"/>
        <w:ind w:firstLine="442"/>
        <w:jc w:val="left"/>
        <w:rPr>
          <w:rFonts w:ascii="宋体" w:hAnsi="宋体"/>
          <w:b/>
          <w:sz w:val="22"/>
          <w:szCs w:val="22"/>
        </w:rPr>
      </w:pPr>
    </w:p>
    <w:p>
      <w:pPr>
        <w:pStyle w:val="32"/>
        <w:adjustRightInd w:val="0"/>
        <w:snapToGrid w:val="0"/>
        <w:ind w:firstLine="0" w:firstLineChars="0"/>
        <w:jc w:val="left"/>
        <w:rPr>
          <w:rFonts w:ascii="宋体" w:hAnsi="宋体"/>
          <w:b/>
          <w:sz w:val="22"/>
          <w:szCs w:val="22"/>
        </w:rPr>
      </w:pPr>
      <w:r>
        <w:rPr>
          <w:rFonts w:hint="eastAsia" w:ascii="宋体" w:hAnsi="宋体"/>
          <w:b/>
          <w:sz w:val="22"/>
          <w:szCs w:val="22"/>
        </w:rPr>
        <w:t>浙江航空开发有限责任公司：</w:t>
      </w:r>
    </w:p>
    <w:p>
      <w:pPr>
        <w:pStyle w:val="32"/>
        <w:adjustRightInd w:val="0"/>
        <w:snapToGrid w:val="0"/>
        <w:ind w:firstLine="440"/>
        <w:jc w:val="left"/>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32"/>
        <w:adjustRightInd w:val="0"/>
        <w:snapToGrid w:val="0"/>
        <w:ind w:firstLine="440"/>
        <w:jc w:val="left"/>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32"/>
        <w:adjustRightInd w:val="0"/>
        <w:snapToGrid w:val="0"/>
        <w:ind w:firstLine="440"/>
        <w:jc w:val="left"/>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32"/>
        <w:adjustRightInd w:val="0"/>
        <w:snapToGrid w:val="0"/>
        <w:ind w:firstLine="440"/>
        <w:jc w:val="left"/>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32"/>
        <w:adjustRightInd w:val="0"/>
        <w:snapToGrid w:val="0"/>
        <w:ind w:firstLine="440"/>
        <w:jc w:val="left"/>
        <w:rPr>
          <w:rFonts w:ascii="宋体" w:hAnsi="宋体"/>
          <w:sz w:val="22"/>
          <w:szCs w:val="22"/>
        </w:rPr>
      </w:pPr>
      <w:r>
        <w:rPr>
          <w:rFonts w:hint="eastAsia" w:ascii="宋体" w:hAnsi="宋体"/>
          <w:sz w:val="22"/>
          <w:szCs w:val="22"/>
        </w:rPr>
        <w:t>四、不为贵公司有关人员出国（境）、旅游等提供方便；</w:t>
      </w:r>
    </w:p>
    <w:p>
      <w:pPr>
        <w:pStyle w:val="32"/>
        <w:adjustRightInd w:val="0"/>
        <w:snapToGrid w:val="0"/>
        <w:ind w:firstLine="440"/>
        <w:jc w:val="left"/>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32"/>
        <w:adjustRightInd w:val="0"/>
        <w:snapToGrid w:val="0"/>
        <w:ind w:firstLine="440"/>
        <w:jc w:val="left"/>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32"/>
        <w:adjustRightInd w:val="0"/>
        <w:snapToGrid w:val="0"/>
        <w:ind w:firstLine="440"/>
        <w:jc w:val="left"/>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32"/>
        <w:adjustRightInd w:val="0"/>
        <w:snapToGrid w:val="0"/>
        <w:ind w:firstLine="440"/>
        <w:jc w:val="left"/>
        <w:rPr>
          <w:rFonts w:ascii="宋体" w:hAnsi="宋体"/>
          <w:sz w:val="22"/>
          <w:szCs w:val="22"/>
        </w:rPr>
      </w:pPr>
    </w:p>
    <w:p>
      <w:pPr>
        <w:pStyle w:val="32"/>
        <w:adjustRightInd w:val="0"/>
        <w:snapToGrid w:val="0"/>
        <w:ind w:firstLine="440"/>
        <w:jc w:val="left"/>
        <w:rPr>
          <w:rFonts w:ascii="宋体" w:hAnsi="宋体"/>
          <w:sz w:val="22"/>
          <w:szCs w:val="22"/>
        </w:rPr>
      </w:pPr>
    </w:p>
    <w:p>
      <w:pPr>
        <w:pStyle w:val="32"/>
        <w:adjustRightInd w:val="0"/>
        <w:snapToGrid w:val="0"/>
        <w:ind w:firstLine="440"/>
        <w:jc w:val="left"/>
        <w:rPr>
          <w:rFonts w:ascii="宋体" w:hAnsi="宋体"/>
          <w:sz w:val="22"/>
          <w:szCs w:val="22"/>
        </w:rPr>
      </w:pPr>
    </w:p>
    <w:p>
      <w:pPr>
        <w:pStyle w:val="32"/>
        <w:adjustRightInd w:val="0"/>
        <w:snapToGrid w:val="0"/>
        <w:ind w:firstLine="440"/>
        <w:jc w:val="left"/>
        <w:rPr>
          <w:rFonts w:ascii="宋体" w:hAnsi="宋体"/>
          <w:sz w:val="22"/>
          <w:szCs w:val="22"/>
        </w:rPr>
      </w:pPr>
    </w:p>
    <w:p>
      <w:pPr>
        <w:pStyle w:val="32"/>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32"/>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32"/>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32"/>
        <w:adjustRightInd w:val="0"/>
        <w:snapToGrid w:val="0"/>
        <w:ind w:firstLine="440"/>
        <w:jc w:val="left"/>
        <w:rPr>
          <w:rFonts w:ascii="宋体" w:hAnsi="宋体"/>
          <w:sz w:val="22"/>
          <w:szCs w:val="22"/>
        </w:rPr>
      </w:pPr>
      <w:r>
        <w:rPr>
          <w:rFonts w:hint="eastAsia" w:ascii="宋体" w:hAnsi="宋体"/>
          <w:sz w:val="22"/>
          <w:szCs w:val="22"/>
        </w:rPr>
        <w:t xml:space="preserve">委托代理人：                   </w:t>
      </w:r>
    </w:p>
    <w:p>
      <w:pPr>
        <w:pStyle w:val="32"/>
        <w:adjustRightInd w:val="0"/>
        <w:snapToGrid w:val="0"/>
        <w:ind w:firstLine="440"/>
        <w:jc w:val="left"/>
        <w:rPr>
          <w:rFonts w:ascii="宋体" w:hAnsi="宋体"/>
          <w:sz w:val="22"/>
          <w:szCs w:val="22"/>
        </w:rPr>
      </w:pPr>
    </w:p>
    <w:p>
      <w:pPr>
        <w:pStyle w:val="32"/>
        <w:adjustRightInd w:val="0"/>
        <w:snapToGrid w:val="0"/>
        <w:ind w:firstLine="442"/>
        <w:jc w:val="left"/>
        <w:rPr>
          <w:rFonts w:ascii="宋体" w:hAnsi="宋体"/>
          <w:b/>
          <w:sz w:val="22"/>
          <w:szCs w:val="22"/>
        </w:rPr>
      </w:pPr>
    </w:p>
    <w:p>
      <w:pPr>
        <w:pStyle w:val="32"/>
        <w:adjustRightInd w:val="0"/>
        <w:snapToGrid w:val="0"/>
        <w:ind w:firstLine="442"/>
        <w:jc w:val="left"/>
        <w:rPr>
          <w:rFonts w:ascii="宋体" w:hAnsi="宋体"/>
          <w:b/>
          <w:sz w:val="22"/>
          <w:szCs w:val="22"/>
        </w:rPr>
      </w:pPr>
    </w:p>
    <w:p>
      <w:pPr>
        <w:pStyle w:val="18"/>
        <w:rPr>
          <w:rFonts w:ascii="宋体" w:hAnsi="宋体" w:eastAsia="宋体"/>
          <w:b w:val="0"/>
          <w:sz w:val="22"/>
          <w:szCs w:val="22"/>
        </w:rPr>
      </w:pPr>
      <w:bookmarkStart w:id="36" w:name="_Toc321925455"/>
      <w:bookmarkStart w:id="37" w:name="_Toc422638522"/>
      <w:r>
        <w:rPr>
          <w:rFonts w:hint="eastAsia" w:ascii="宋体" w:hAnsi="宋体" w:eastAsia="宋体"/>
          <w:b w:val="0"/>
          <w:sz w:val="22"/>
          <w:szCs w:val="22"/>
        </w:rPr>
        <w:t>年    月     日</w:t>
      </w:r>
      <w:bookmarkEnd w:id="36"/>
      <w:bookmarkEnd w:id="37"/>
    </w:p>
    <w:p>
      <w:pPr>
        <w:pStyle w:val="18"/>
        <w:rPr>
          <w:rFonts w:ascii="宋体" w:hAnsi="宋体"/>
        </w:rPr>
      </w:pPr>
      <w:bookmarkStart w:id="38" w:name="_Toc90452722"/>
      <w:bookmarkStart w:id="39" w:name="_Toc206217401"/>
    </w:p>
    <w:bookmarkEnd w:id="38"/>
    <w:bookmarkEnd w:id="39"/>
    <w:p>
      <w:pPr>
        <w:pStyle w:val="2"/>
        <w:spacing w:before="0" w:after="0"/>
        <w:rPr>
          <w:rFonts w:ascii="Cambria" w:hAnsi="Cambria" w:eastAsia="黑体"/>
          <w:b w:val="0"/>
          <w:bCs/>
          <w:kern w:val="0"/>
          <w:sz w:val="32"/>
          <w:szCs w:val="32"/>
        </w:rPr>
      </w:pPr>
      <w:bookmarkStart w:id="40" w:name="_Toc275274581"/>
      <w:r>
        <w:br w:type="page"/>
      </w:r>
    </w:p>
    <w:p>
      <w:pPr>
        <w:pStyle w:val="18"/>
      </w:pPr>
      <w:bookmarkStart w:id="41" w:name="_Toc321925457"/>
      <w:r>
        <w:t>第</w:t>
      </w:r>
      <w:r>
        <w:rPr>
          <w:rFonts w:hint="eastAsia"/>
        </w:rPr>
        <w:t>五</w:t>
      </w:r>
      <w:r>
        <w:t>章  投标文件格式</w:t>
      </w:r>
      <w:bookmarkEnd w:id="40"/>
      <w:bookmarkEnd w:id="41"/>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numPr>
          <w:ilvl w:val="0"/>
          <w:numId w:val="21"/>
        </w:numPr>
        <w:adjustRightInd w:val="0"/>
        <w:snapToGrid w:val="0"/>
        <w:spacing w:line="400" w:lineRule="exact"/>
        <w:rPr>
          <w:rFonts w:ascii="宋体" w:hAnsi="宋体" w:cs="Calibri"/>
          <w:sz w:val="22"/>
          <w:szCs w:val="22"/>
        </w:rPr>
      </w:pPr>
      <w:r>
        <w:rPr>
          <w:rFonts w:ascii="宋体" w:hAnsi="宋体" w:cs="Calibri"/>
          <w:sz w:val="22"/>
          <w:szCs w:val="22"/>
        </w:rPr>
        <w:t>投标函；</w:t>
      </w:r>
    </w:p>
    <w:p>
      <w:pPr>
        <w:numPr>
          <w:ilvl w:val="0"/>
          <w:numId w:val="21"/>
        </w:numPr>
        <w:adjustRightInd w:val="0"/>
        <w:snapToGrid w:val="0"/>
        <w:spacing w:line="400" w:lineRule="exact"/>
        <w:rPr>
          <w:rFonts w:ascii="宋体" w:hAnsi="宋体" w:cs="Calibri"/>
          <w:color w:val="000000"/>
          <w:sz w:val="22"/>
          <w:szCs w:val="22"/>
        </w:rPr>
      </w:pPr>
      <w:r>
        <w:rPr>
          <w:rFonts w:ascii="宋体" w:hAnsi="宋体" w:cs="Calibri"/>
          <w:color w:val="000000"/>
          <w:sz w:val="22"/>
          <w:szCs w:val="22"/>
        </w:rPr>
        <w:t>法定代表人资格证明书；</w:t>
      </w:r>
    </w:p>
    <w:p>
      <w:pPr>
        <w:numPr>
          <w:ilvl w:val="0"/>
          <w:numId w:val="21"/>
        </w:numPr>
        <w:adjustRightInd w:val="0"/>
        <w:snapToGrid w:val="0"/>
        <w:spacing w:line="400" w:lineRule="exact"/>
        <w:rPr>
          <w:rFonts w:ascii="宋体" w:hAnsi="宋体" w:cs="Calibri"/>
          <w:color w:val="000000"/>
          <w:sz w:val="22"/>
          <w:szCs w:val="22"/>
        </w:rPr>
      </w:pPr>
      <w:r>
        <w:rPr>
          <w:rFonts w:ascii="宋体" w:hAnsi="宋体" w:cs="Calibri"/>
          <w:color w:val="000000"/>
          <w:sz w:val="22"/>
          <w:szCs w:val="22"/>
        </w:rPr>
        <w:t>授权委托书；</w:t>
      </w:r>
    </w:p>
    <w:p>
      <w:pPr>
        <w:numPr>
          <w:ilvl w:val="0"/>
          <w:numId w:val="21"/>
        </w:numPr>
        <w:adjustRightInd w:val="0"/>
        <w:snapToGrid w:val="0"/>
        <w:spacing w:line="400" w:lineRule="exact"/>
        <w:rPr>
          <w:rFonts w:ascii="宋体" w:hAnsi="宋体" w:cs="Calibri"/>
          <w:color w:val="000000"/>
          <w:sz w:val="22"/>
          <w:szCs w:val="22"/>
        </w:rPr>
      </w:pPr>
      <w:r>
        <w:rPr>
          <w:rFonts w:hint="eastAsia" w:ascii="宋体" w:hAnsi="宋体" w:cs="Calibri"/>
          <w:color w:val="000000"/>
        </w:rPr>
        <w:t>企业相关介绍</w:t>
      </w:r>
      <w:r>
        <w:rPr>
          <w:rFonts w:hint="eastAsia" w:ascii="宋体" w:hAnsi="宋体" w:cs="Calibri"/>
          <w:color w:val="000000"/>
          <w:sz w:val="22"/>
          <w:szCs w:val="22"/>
        </w:rPr>
        <w:t>；</w:t>
      </w:r>
    </w:p>
    <w:p>
      <w:pPr>
        <w:numPr>
          <w:ilvl w:val="0"/>
          <w:numId w:val="2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营业执照；</w:t>
      </w:r>
    </w:p>
    <w:p>
      <w:pPr>
        <w:numPr>
          <w:ilvl w:val="0"/>
          <w:numId w:val="2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道路运输经营许可证；</w:t>
      </w:r>
    </w:p>
    <w:p>
      <w:pPr>
        <w:numPr>
          <w:ilvl w:val="0"/>
          <w:numId w:val="2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货物运输及人员保险合同；</w:t>
      </w:r>
    </w:p>
    <w:p>
      <w:pPr>
        <w:numPr>
          <w:ilvl w:val="0"/>
          <w:numId w:val="21"/>
        </w:numPr>
        <w:adjustRightInd w:val="0"/>
        <w:snapToGrid w:val="0"/>
        <w:spacing w:line="400" w:lineRule="exact"/>
        <w:rPr>
          <w:rFonts w:ascii="宋体" w:hAnsi="宋体" w:cs="Calibri"/>
          <w:color w:val="000000"/>
          <w:sz w:val="22"/>
          <w:szCs w:val="22"/>
        </w:rPr>
      </w:pPr>
      <w:r>
        <w:rPr>
          <w:rFonts w:hint="eastAsia" w:ascii="宋体" w:hAnsi="宋体" w:cs="Calibri"/>
          <w:color w:val="000000"/>
        </w:rPr>
        <w:t>车辆管理流程及故障处置方案</w:t>
      </w:r>
    </w:p>
    <w:p>
      <w:pPr>
        <w:numPr>
          <w:ilvl w:val="0"/>
          <w:numId w:val="2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药品运输应急预案</w:t>
      </w:r>
    </w:p>
    <w:p>
      <w:pPr>
        <w:numPr>
          <w:ilvl w:val="0"/>
          <w:numId w:val="2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阐述药品运输经验，并提供医药类客户名录</w:t>
      </w:r>
    </w:p>
    <w:p>
      <w:pPr>
        <w:numPr>
          <w:ilvl w:val="0"/>
          <w:numId w:val="2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投标人认为应该提供的其他材料。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42" w:name="_Toc171421958"/>
      <w:r>
        <w:rPr>
          <w:rFonts w:cs="Calibri"/>
          <w:color w:val="000000"/>
        </w:rPr>
        <w:t>封面</w:t>
      </w:r>
      <w:bookmarkEnd w:id="42"/>
    </w:p>
    <w:p>
      <w:pPr>
        <w:autoSpaceDE w:val="0"/>
        <w:autoSpaceDN w:val="0"/>
        <w:adjustRightInd w:val="0"/>
        <w:jc w:val="center"/>
        <w:rPr>
          <w:rFonts w:cs="Calibri"/>
          <w:b/>
          <w:spacing w:val="20"/>
          <w:kern w:val="0"/>
          <w:sz w:val="48"/>
          <w:szCs w:val="48"/>
        </w:rPr>
      </w:pPr>
      <w:r>
        <w:rPr>
          <w:rFonts w:hint="eastAsia" w:cs="Calibri"/>
          <w:b/>
          <w:spacing w:val="20"/>
          <w:kern w:val="0"/>
          <w:sz w:val="48"/>
          <w:szCs w:val="48"/>
        </w:rPr>
        <w:t>浙江航空开发有限责任公司</w:t>
      </w:r>
    </w:p>
    <w:p>
      <w:pPr>
        <w:autoSpaceDE w:val="0"/>
        <w:autoSpaceDN w:val="0"/>
        <w:adjustRightInd w:val="0"/>
        <w:jc w:val="center"/>
        <w:rPr>
          <w:rFonts w:cs="Calibri"/>
          <w:b/>
          <w:spacing w:val="20"/>
          <w:kern w:val="0"/>
          <w:sz w:val="48"/>
          <w:szCs w:val="48"/>
        </w:rPr>
      </w:pPr>
      <w:r>
        <w:rPr>
          <w:rFonts w:hint="eastAsia" w:cs="Calibri"/>
          <w:b/>
          <w:spacing w:val="20"/>
          <w:kern w:val="0"/>
          <w:sz w:val="48"/>
          <w:szCs w:val="48"/>
        </w:rPr>
        <w:t>2020年药品及原料工厂短驳项目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浙江航空开发有限责任公司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w:t>
      </w:r>
      <w:r>
        <w:rPr>
          <w:rFonts w:hint="eastAsia" w:ascii="宋体" w:hAnsi="宋体"/>
          <w:sz w:val="22"/>
          <w:szCs w:val="22"/>
        </w:rPr>
        <w:t>2020年药品及原料工厂短驳项目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一</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22"/>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szCs w:val="22"/>
        </w:rPr>
      </w:pPr>
    </w:p>
    <w:p>
      <w:pPr>
        <w:overflowPunct w:val="0"/>
        <w:autoSpaceDE w:val="0"/>
        <w:autoSpaceDN w:val="0"/>
        <w:spacing w:line="440" w:lineRule="exact"/>
        <w:ind w:left="416"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hint="eastAsia" w:ascii="宋体" w:hAnsi="宋体"/>
          <w:sz w:val="22"/>
          <w:szCs w:val="22"/>
        </w:rPr>
        <w:t xml:space="preserve"> </w:t>
      </w:r>
      <w:r>
        <w:rPr>
          <w:rFonts w:ascii="宋体" w:hAnsi="宋体"/>
          <w:sz w:val="22"/>
          <w:szCs w:val="22"/>
          <w:u w:val="single"/>
        </w:rPr>
        <w:t xml:space="preserve">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w:t>
      </w:r>
    </w:p>
    <w:p>
      <w:pPr>
        <w:numPr>
          <w:ilvl w:val="0"/>
          <w:numId w:val="2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2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2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90日历</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2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2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zMLyPXAAAACAEAAA8AAAAAAAAAAQAgAAAAIgAAAGRycy9kb3ducmV2LnhtbFBLAQIU&#10;ABQAAAAIAIdO4kCH/CFe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GfleBIvAgAASAQAAA4AAAAAAAAAAQAgAAAAJg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440" w:lineRule="exact"/>
        <w:jc w:val="center"/>
        <w:rPr>
          <w:rFonts w:ascii="Calibri" w:hAnsi="Calibri" w:eastAsia="黑体" w:cs="Calibri"/>
          <w:color w:val="000000"/>
          <w:sz w:val="32"/>
          <w:szCs w:val="32"/>
        </w:rPr>
      </w:pPr>
      <w:bookmarkStart w:id="43" w:name="_Toc133470542"/>
      <w:bookmarkStart w:id="44" w:name="_Toc137373398"/>
      <w:bookmarkStart w:id="45" w:name="_Toc144265958"/>
      <w:bookmarkStart w:id="46" w:name="_Toc133214102"/>
      <w:bookmarkStart w:id="47" w:name="_Toc133214309"/>
      <w:r>
        <w:rPr>
          <w:rFonts w:hint="eastAsia" w:ascii="Calibri" w:hAnsi="Calibri" w:eastAsia="黑体" w:cs="Calibri"/>
          <w:color w:val="000000"/>
          <w:sz w:val="32"/>
          <w:szCs w:val="32"/>
        </w:rPr>
        <w:t>四、投标报价表</w:t>
      </w:r>
    </w:p>
    <w:p>
      <w:pPr>
        <w:pStyle w:val="7"/>
        <w:spacing w:afterLines="50" w:line="360" w:lineRule="auto"/>
        <w:jc w:val="center"/>
        <w:rPr>
          <w:rFonts w:hAnsi="宋体" w:cs="宋体"/>
        </w:rPr>
      </w:pPr>
    </w:p>
    <w:p>
      <w:pPr>
        <w:pStyle w:val="7"/>
        <w:numPr>
          <w:ilvl w:val="1"/>
          <w:numId w:val="23"/>
        </w:numPr>
        <w:snapToGrid w:val="0"/>
        <w:spacing w:beforeLines="50" w:line="360" w:lineRule="exact"/>
        <w:rPr>
          <w:rFonts w:hAnsi="宋体" w:cs="宋体"/>
          <w:b/>
          <w:sz w:val="22"/>
          <w:szCs w:val="22"/>
        </w:rPr>
      </w:pPr>
      <w:r>
        <w:rPr>
          <w:rFonts w:hint="eastAsia" w:hAnsi="宋体" w:cs="宋体"/>
          <w:b/>
          <w:sz w:val="22"/>
          <w:szCs w:val="22"/>
        </w:rPr>
        <w:t>总则</w:t>
      </w:r>
    </w:p>
    <w:p>
      <w:pPr>
        <w:pStyle w:val="7"/>
        <w:numPr>
          <w:ilvl w:val="1"/>
          <w:numId w:val="24"/>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7"/>
        <w:numPr>
          <w:ilvl w:val="1"/>
          <w:numId w:val="24"/>
        </w:numPr>
        <w:snapToGrid w:val="0"/>
        <w:spacing w:beforeLines="50" w:line="360" w:lineRule="exact"/>
        <w:rPr>
          <w:rFonts w:hAnsi="宋体" w:cs="宋体"/>
          <w:sz w:val="22"/>
          <w:szCs w:val="22"/>
        </w:rPr>
      </w:pPr>
      <w:r>
        <w:rPr>
          <w:rFonts w:hint="eastAsia" w:hAnsi="宋体" w:cs="宋体"/>
          <w:sz w:val="22"/>
          <w:szCs w:val="22"/>
        </w:rPr>
        <w:t>报价应为非含税报价（税点根据国家现行执行的增值税率，在合同有效期限内，若因国家税收政策调整而引起的增值税税率变化的，应按照国家税收政策调整。）。如买方根据法规和国家有关规定获减免税或退税，利益完全归买方。</w:t>
      </w:r>
    </w:p>
    <w:p>
      <w:pPr>
        <w:pStyle w:val="7"/>
        <w:numPr>
          <w:ilvl w:val="1"/>
          <w:numId w:val="24"/>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7"/>
        <w:numPr>
          <w:ilvl w:val="1"/>
          <w:numId w:val="24"/>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7"/>
        <w:numPr>
          <w:ilvl w:val="1"/>
          <w:numId w:val="24"/>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7"/>
        <w:numPr>
          <w:ilvl w:val="1"/>
          <w:numId w:val="24"/>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本总则上列各条中提及的“投标人”在合同执行过程中应作为“乙方”解释。</w:t>
      </w:r>
    </w:p>
    <w:bookmarkEnd w:id="43"/>
    <w:bookmarkEnd w:id="44"/>
    <w:bookmarkEnd w:id="45"/>
    <w:bookmarkEnd w:id="46"/>
    <w:bookmarkEnd w:id="47"/>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p>
      <w:pPr>
        <w:spacing w:line="360" w:lineRule="auto"/>
        <w:jc w:val="right"/>
        <w:rPr>
          <w:rFonts w:ascii="宋体" w:hAnsi="宋体" w:cs="宋体"/>
          <w:sz w:val="22"/>
        </w:rPr>
      </w:pPr>
    </w:p>
    <w:tbl>
      <w:tblPr>
        <w:tblStyle w:val="24"/>
        <w:tblW w:w="9464" w:type="dxa"/>
        <w:tblInd w:w="0" w:type="dxa"/>
        <w:tblLayout w:type="fixed"/>
        <w:tblCellMar>
          <w:top w:w="0" w:type="dxa"/>
          <w:left w:w="108" w:type="dxa"/>
          <w:bottom w:w="0" w:type="dxa"/>
          <w:right w:w="108" w:type="dxa"/>
        </w:tblCellMar>
      </w:tblPr>
      <w:tblGrid>
        <w:gridCol w:w="4219"/>
        <w:gridCol w:w="3260"/>
        <w:gridCol w:w="1985"/>
      </w:tblGrid>
      <w:tr>
        <w:tblPrEx>
          <w:tblLayout w:type="fixed"/>
          <w:tblCellMar>
            <w:top w:w="0" w:type="dxa"/>
            <w:left w:w="108" w:type="dxa"/>
            <w:bottom w:w="0" w:type="dxa"/>
            <w:right w:w="108" w:type="dxa"/>
          </w:tblCellMar>
        </w:tblPrEx>
        <w:trPr>
          <w:trHeight w:val="165" w:hRule="atLeast"/>
        </w:trPr>
        <w:tc>
          <w:tcPr>
            <w:tcW w:w="4219"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p>
        </w:tc>
        <w:tc>
          <w:tcPr>
            <w:tcW w:w="326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p>
        </w:tc>
        <w:tc>
          <w:tcPr>
            <w:tcW w:w="1985"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465" w:hRule="atLeast"/>
        </w:trPr>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固定费用</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w:hAnsi="Arial" w:cs="Arial"/>
                <w:kern w:val="0"/>
                <w:szCs w:val="21"/>
              </w:rPr>
            </w:pPr>
            <w:r>
              <w:rPr>
                <w:rFonts w:ascii="Arial" w:hAnsi="Arial" w:cs="Arial"/>
                <w:kern w:val="0"/>
                <w:szCs w:val="21"/>
              </w:rPr>
              <w:t>(</w:t>
            </w:r>
            <w:r>
              <w:rPr>
                <w:rFonts w:hint="eastAsia" w:ascii="宋体" w:hAnsi="宋体" w:cs="Arial"/>
                <w:kern w:val="0"/>
                <w:sz w:val="22"/>
                <w:szCs w:val="22"/>
              </w:rPr>
              <w:t>厢式整车门到门，不包括装卸</w:t>
            </w:r>
            <w:r>
              <w:rPr>
                <w:rFonts w:ascii="Arial" w:hAnsi="Arial" w:cs="Arial"/>
                <w:kern w:val="0"/>
                <w:szCs w:val="21"/>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变动费用</w:t>
            </w:r>
          </w:p>
          <w:p>
            <w:pPr>
              <w:widowControl/>
              <w:rPr>
                <w:rFonts w:ascii="宋体" w:hAnsi="宋体" w:cs="宋体"/>
                <w:kern w:val="0"/>
                <w:sz w:val="22"/>
                <w:szCs w:val="22"/>
              </w:rPr>
            </w:pPr>
            <w:r>
              <w:rPr>
                <w:rFonts w:hint="eastAsia" w:ascii="宋体" w:hAnsi="宋体" w:cs="宋体"/>
                <w:kern w:val="0"/>
                <w:sz w:val="22"/>
                <w:szCs w:val="22"/>
              </w:rPr>
              <w:t>（元</w:t>
            </w:r>
            <w:r>
              <w:rPr>
                <w:rFonts w:ascii="Arial" w:hAnsi="Arial" w:cs="Arial"/>
                <w:kern w:val="0"/>
                <w:szCs w:val="21"/>
              </w:rPr>
              <w:t>/</w:t>
            </w:r>
            <w:r>
              <w:rPr>
                <w:rFonts w:hint="eastAsia" w:ascii="宋体" w:hAnsi="宋体" w:cs="宋体"/>
                <w:kern w:val="0"/>
                <w:sz w:val="22"/>
                <w:szCs w:val="22"/>
              </w:rPr>
              <w:t>单趟</w:t>
            </w:r>
            <w:r>
              <w:rPr>
                <w:rFonts w:ascii="Arial" w:hAnsi="Arial" w:cs="Arial"/>
                <w:kern w:val="0"/>
                <w:szCs w:val="21"/>
              </w:rPr>
              <w:t>/</w:t>
            </w:r>
            <w:r>
              <w:rPr>
                <w:rFonts w:hint="eastAsia" w:ascii="宋体" w:hAnsi="宋体" w:cs="宋体"/>
                <w:kern w:val="0"/>
                <w:sz w:val="22"/>
                <w:szCs w:val="22"/>
              </w:rPr>
              <w:t>车）</w:t>
            </w:r>
          </w:p>
        </w:tc>
      </w:tr>
      <w:tr>
        <w:tblPrEx>
          <w:tblLayout w:type="fixed"/>
          <w:tblCellMar>
            <w:top w:w="0" w:type="dxa"/>
            <w:left w:w="108" w:type="dxa"/>
            <w:bottom w:w="0" w:type="dxa"/>
            <w:right w:w="108" w:type="dxa"/>
          </w:tblCellMar>
        </w:tblPrEx>
        <w:trPr>
          <w:trHeight w:val="465" w:hRule="atLeast"/>
        </w:trPr>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1"/>
              </w:rPr>
            </w:pPr>
            <w:r>
              <w:rPr>
                <w:rFonts w:ascii="Arial" w:hAnsi="Arial" w:cs="Arial"/>
                <w:kern w:val="0"/>
                <w:szCs w:val="21"/>
              </w:rPr>
              <w:t>20</w:t>
            </w:r>
            <w:r>
              <w:rPr>
                <w:rFonts w:hint="eastAsia" w:ascii="宋体" w:hAnsi="宋体" w:cs="Arial"/>
                <w:kern w:val="0"/>
                <w:sz w:val="22"/>
                <w:szCs w:val="22"/>
              </w:rPr>
              <w:t>吨拖车固定使用费（元</w:t>
            </w:r>
            <w:r>
              <w:rPr>
                <w:rFonts w:ascii="Arial" w:hAnsi="Arial" w:cs="Arial"/>
                <w:kern w:val="0"/>
                <w:szCs w:val="21"/>
              </w:rPr>
              <w:t>/</w:t>
            </w:r>
            <w:r>
              <w:rPr>
                <w:rFonts w:hint="eastAsia" w:ascii="宋体" w:hAnsi="宋体" w:cs="Arial"/>
                <w:kern w:val="0"/>
                <w:sz w:val="22"/>
                <w:szCs w:val="22"/>
              </w:rPr>
              <w:t>月</w:t>
            </w:r>
            <w:r>
              <w:rPr>
                <w:rFonts w:ascii="Arial" w:hAnsi="Arial" w:cs="Arial"/>
                <w:kern w:val="0"/>
                <w:szCs w:val="21"/>
              </w:rPr>
              <w:t>/</w:t>
            </w:r>
            <w:r>
              <w:rPr>
                <w:rFonts w:hint="eastAsia" w:ascii="宋体" w:hAnsi="宋体" w:cs="Arial"/>
                <w:kern w:val="0"/>
                <w:sz w:val="22"/>
                <w:szCs w:val="22"/>
              </w:rPr>
              <w:t>车）</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Cs w:val="21"/>
              </w:rPr>
            </w:pP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Cs w:val="21"/>
              </w:rPr>
            </w:pPr>
          </w:p>
        </w:tc>
      </w:tr>
      <w:tr>
        <w:tblPrEx>
          <w:tblLayout w:type="fixed"/>
          <w:tblCellMar>
            <w:top w:w="0" w:type="dxa"/>
            <w:left w:w="108" w:type="dxa"/>
            <w:bottom w:w="0" w:type="dxa"/>
            <w:right w:w="108" w:type="dxa"/>
          </w:tblCellMar>
        </w:tblPrEx>
        <w:trPr>
          <w:trHeight w:val="465" w:hRule="atLeast"/>
        </w:trPr>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厢式挂车固定使用费</w:t>
            </w:r>
            <w:r>
              <w:rPr>
                <w:rFonts w:ascii="Arial" w:hAnsi="Arial" w:cs="Arial"/>
                <w:kern w:val="0"/>
                <w:szCs w:val="21"/>
              </w:rPr>
              <w:t>(</w:t>
            </w:r>
            <w:r>
              <w:rPr>
                <w:rFonts w:hint="eastAsia" w:ascii="Arial" w:hAnsi="Arial" w:cs="Arial"/>
                <w:kern w:val="0"/>
                <w:szCs w:val="21"/>
              </w:rPr>
              <w:t>内径</w:t>
            </w:r>
            <w:r>
              <w:rPr>
                <w:rFonts w:ascii="Arial" w:hAnsi="Arial" w:cs="Arial"/>
                <w:kern w:val="0"/>
                <w:szCs w:val="21"/>
              </w:rPr>
              <w:t>12*2.4</w:t>
            </w:r>
            <w:r>
              <w:rPr>
                <w:rFonts w:hint="eastAsia" w:ascii="Arial" w:hAnsi="Arial" w:cs="Arial"/>
                <w:kern w:val="0"/>
                <w:szCs w:val="21"/>
              </w:rPr>
              <w:t>5</w:t>
            </w:r>
            <w:r>
              <w:rPr>
                <w:rFonts w:ascii="Arial" w:hAnsi="Arial" w:cs="Arial"/>
                <w:kern w:val="0"/>
                <w:szCs w:val="21"/>
              </w:rPr>
              <w:t>*2.4</w:t>
            </w:r>
            <w:r>
              <w:rPr>
                <w:rFonts w:hint="eastAsia" w:ascii="Arial" w:hAnsi="Arial" w:cs="Arial"/>
                <w:kern w:val="0"/>
                <w:szCs w:val="21"/>
              </w:rPr>
              <w:t>5</w:t>
            </w:r>
            <w:r>
              <w:rPr>
                <w:rFonts w:ascii="Arial" w:hAnsi="Arial" w:cs="Arial"/>
                <w:kern w:val="0"/>
                <w:szCs w:val="21"/>
              </w:rPr>
              <w:t xml:space="preserve">) </w:t>
            </w:r>
            <w:r>
              <w:rPr>
                <w:rFonts w:hint="eastAsia" w:ascii="宋体" w:hAnsi="宋体" w:cs="宋体"/>
                <w:kern w:val="0"/>
                <w:sz w:val="22"/>
                <w:szCs w:val="22"/>
              </w:rPr>
              <w:t>（元</w:t>
            </w:r>
            <w:r>
              <w:rPr>
                <w:rFonts w:ascii="Arial" w:hAnsi="Arial" w:cs="Arial"/>
                <w:kern w:val="0"/>
                <w:szCs w:val="21"/>
              </w:rPr>
              <w:t>/</w:t>
            </w:r>
            <w:r>
              <w:rPr>
                <w:rFonts w:hint="eastAsia" w:ascii="宋体" w:hAnsi="宋体" w:cs="宋体"/>
                <w:kern w:val="0"/>
                <w:sz w:val="22"/>
                <w:szCs w:val="22"/>
              </w:rPr>
              <w:t>月</w:t>
            </w:r>
            <w:r>
              <w:rPr>
                <w:rFonts w:ascii="Arial" w:hAnsi="Arial" w:cs="Arial"/>
                <w:kern w:val="0"/>
                <w:szCs w:val="21"/>
              </w:rPr>
              <w:t>/</w:t>
            </w:r>
            <w:r>
              <w:rPr>
                <w:rFonts w:hint="eastAsia" w:ascii="宋体" w:hAnsi="宋体" w:cs="宋体"/>
                <w:kern w:val="0"/>
                <w:sz w:val="22"/>
                <w:szCs w:val="22"/>
              </w:rPr>
              <w:t>车）</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Cs w:val="21"/>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p>
        </w:tc>
      </w:tr>
      <w:tr>
        <w:tblPrEx>
          <w:tblLayout w:type="fixed"/>
          <w:tblCellMar>
            <w:top w:w="0" w:type="dxa"/>
            <w:left w:w="108" w:type="dxa"/>
            <w:bottom w:w="0" w:type="dxa"/>
            <w:right w:w="108" w:type="dxa"/>
          </w:tblCellMar>
        </w:tblPrEx>
        <w:trPr>
          <w:trHeight w:val="465" w:hRule="atLeast"/>
        </w:trPr>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人员费用（元</w:t>
            </w:r>
            <w:r>
              <w:rPr>
                <w:rFonts w:ascii="Arial" w:hAnsi="Arial" w:cs="Arial"/>
                <w:kern w:val="0"/>
                <w:szCs w:val="21"/>
              </w:rPr>
              <w:t>/</w:t>
            </w:r>
            <w:r>
              <w:rPr>
                <w:rFonts w:hint="eastAsia" w:ascii="宋体" w:hAnsi="宋体" w:cs="宋体"/>
                <w:kern w:val="0"/>
                <w:sz w:val="22"/>
                <w:szCs w:val="22"/>
              </w:rPr>
              <w:t>月</w:t>
            </w:r>
            <w:r>
              <w:rPr>
                <w:rFonts w:ascii="Arial" w:hAnsi="Arial" w:cs="Arial"/>
                <w:kern w:val="0"/>
                <w:szCs w:val="21"/>
              </w:rPr>
              <w:t>/</w:t>
            </w:r>
            <w:r>
              <w:rPr>
                <w:rFonts w:hint="eastAsia" w:ascii="宋体" w:hAnsi="宋体" w:cs="宋体"/>
                <w:kern w:val="0"/>
                <w:sz w:val="22"/>
                <w:szCs w:val="22"/>
              </w:rPr>
              <w:t>人）</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kern w:val="0"/>
                <w:szCs w:val="21"/>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kern w:val="0"/>
                <w:szCs w:val="21"/>
              </w:rPr>
            </w:pPr>
          </w:p>
        </w:tc>
      </w:tr>
      <w:tr>
        <w:tblPrEx>
          <w:tblLayout w:type="fixed"/>
          <w:tblCellMar>
            <w:top w:w="0" w:type="dxa"/>
            <w:left w:w="108" w:type="dxa"/>
            <w:bottom w:w="0" w:type="dxa"/>
            <w:right w:w="108" w:type="dxa"/>
          </w:tblCellMar>
        </w:tblPrEx>
        <w:trPr>
          <w:trHeight w:val="493" w:hRule="atLeast"/>
        </w:trPr>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合计：（=“20吨拖车固定使用费”*2+“厢式挂车固定使用费”*4+“人员费用”*2+“变动费用”*220）</w:t>
            </w:r>
          </w:p>
        </w:tc>
        <w:tc>
          <w:tcPr>
            <w:tcW w:w="5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1"/>
              </w:rPr>
            </w:pPr>
          </w:p>
        </w:tc>
      </w:tr>
    </w:tbl>
    <w:p>
      <w:pPr>
        <w:spacing w:line="360" w:lineRule="auto"/>
        <w:ind w:firstLine="420" w:firstLineChars="200"/>
        <w:rPr>
          <w:rFonts w:ascii="宋体"/>
        </w:rPr>
      </w:pPr>
    </w:p>
    <w:p>
      <w:pPr>
        <w:adjustRightInd w:val="0"/>
        <w:snapToGrid w:val="0"/>
        <w:spacing w:line="360" w:lineRule="auto"/>
        <w:jc w:val="left"/>
        <w:textAlignment w:val="baseline"/>
        <w:rPr>
          <w:rFonts w:ascii="宋体" w:hAnsi="宋体" w:cs="宋体"/>
          <w:sz w:val="22"/>
        </w:rPr>
      </w:pPr>
    </w:p>
    <w:p>
      <w:pPr>
        <w:adjustRightInd w:val="0"/>
        <w:snapToGrid w:val="0"/>
        <w:spacing w:line="360" w:lineRule="auto"/>
        <w:jc w:val="left"/>
        <w:textAlignment w:val="baseline"/>
        <w:rPr>
          <w:rFonts w:ascii="宋体" w:hAnsi="宋体" w:cs="宋体"/>
          <w:sz w:val="22"/>
        </w:rPr>
      </w:pPr>
      <w:r>
        <w:rPr>
          <w:rFonts w:hint="eastAsia" w:ascii="宋体" w:hAnsi="宋体" w:cs="宋体"/>
          <w:sz w:val="22"/>
        </w:rPr>
        <w:t>备注：</w:t>
      </w:r>
      <w:r>
        <w:rPr>
          <w:rFonts w:hint="eastAsia" w:ascii="宋体" w:hAnsi="宋体" w:cs="宋体"/>
          <w:sz w:val="22"/>
        </w:rPr>
        <w:tab/>
      </w:r>
      <w:r>
        <w:rPr>
          <w:rFonts w:hint="eastAsia" w:ascii="宋体" w:hAnsi="宋体" w:cs="宋体"/>
          <w:sz w:val="22"/>
        </w:rPr>
        <w:tab/>
      </w:r>
    </w:p>
    <w:p>
      <w:pPr>
        <w:numPr>
          <w:ilvl w:val="2"/>
          <w:numId w:val="25"/>
        </w:numPr>
        <w:adjustRightInd w:val="0"/>
        <w:snapToGrid w:val="0"/>
        <w:spacing w:line="360" w:lineRule="auto"/>
        <w:ind w:left="0"/>
        <w:jc w:val="left"/>
        <w:textAlignment w:val="baseline"/>
        <w:rPr>
          <w:rFonts w:ascii="宋体" w:hAnsi="宋体" w:cs="宋体"/>
          <w:sz w:val="22"/>
        </w:rPr>
      </w:pPr>
      <w:r>
        <w:rPr>
          <w:rFonts w:hint="eastAsia" w:ascii="宋体" w:hAnsi="宋体" w:cs="宋体"/>
          <w:sz w:val="22"/>
        </w:rPr>
        <w:t>上述报价应为非含税报价（税点根据国家现行执行的增值税率，在合同有效期限内，若因国家税收政策调整而引起的增值税税率变化的，应按照国家税收政策调整。）</w:t>
      </w:r>
    </w:p>
    <w:p>
      <w:pPr>
        <w:numPr>
          <w:ilvl w:val="2"/>
          <w:numId w:val="25"/>
        </w:numPr>
        <w:adjustRightInd w:val="0"/>
        <w:snapToGrid w:val="0"/>
        <w:spacing w:line="360" w:lineRule="auto"/>
        <w:ind w:left="0"/>
        <w:jc w:val="left"/>
        <w:textAlignment w:val="baseline"/>
        <w:rPr>
          <w:rFonts w:ascii="宋体" w:hAnsi="宋体" w:cs="宋体"/>
          <w:sz w:val="22"/>
        </w:rPr>
      </w:pPr>
      <w:r>
        <w:rPr>
          <w:rFonts w:hint="eastAsia" w:ascii="宋体" w:hAnsi="宋体" w:cs="宋体"/>
          <w:sz w:val="22"/>
        </w:rPr>
        <w:t>上述报价应包括但不限于：提货、单证随行、返回、过桥过路费等费用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48" w:name="_Toc137373399"/>
      <w:bookmarkStart w:id="49" w:name="_Toc133214310"/>
      <w:bookmarkStart w:id="50" w:name="_Toc133470544"/>
      <w:bookmarkStart w:id="51" w:name="_Toc133214103"/>
    </w:p>
    <w:p>
      <w:pPr>
        <w:spacing w:line="360" w:lineRule="auto"/>
        <w:jc w:val="center"/>
        <w:rPr>
          <w:rFonts w:ascii="宋体" w:hAnsi="宋体" w:cs="宋体"/>
          <w:b/>
          <w:sz w:val="32"/>
          <w:szCs w:val="32"/>
        </w:rPr>
      </w:pPr>
      <w:bookmarkStart w:id="52" w:name="_Toc144265959"/>
      <w:r>
        <w:rPr>
          <w:rFonts w:hint="eastAsia" w:ascii="宋体" w:hAnsi="宋体" w:cs="宋体"/>
          <w:b/>
          <w:sz w:val="32"/>
          <w:szCs w:val="32"/>
        </w:rPr>
        <w:br w:type="page"/>
      </w:r>
    </w:p>
    <w:bookmarkEnd w:id="48"/>
    <w:bookmarkEnd w:id="49"/>
    <w:bookmarkEnd w:id="50"/>
    <w:bookmarkEnd w:id="51"/>
    <w:bookmarkEnd w:id="52"/>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24"/>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11"/>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rPr>
          <w:rFonts w:ascii="Calibri" w:hAnsi="Calibri" w:eastAsia="黑体" w:cs="Calibri"/>
          <w:color w:val="000000"/>
          <w:sz w:val="32"/>
          <w:szCs w:val="32"/>
        </w:rPr>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E2E1D"/>
    <w:multiLevelType w:val="multilevel"/>
    <w:tmpl w:val="001E2E1D"/>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1356AC9"/>
    <w:multiLevelType w:val="multilevel"/>
    <w:tmpl w:val="01356AC9"/>
    <w:lvl w:ilvl="0" w:tentative="0">
      <w:start w:val="1"/>
      <w:numFmt w:val="japaneseCounting"/>
      <w:lvlText w:val="%1、"/>
      <w:lvlJc w:val="left"/>
      <w:pPr>
        <w:tabs>
          <w:tab w:val="left" w:pos="480"/>
        </w:tabs>
        <w:ind w:left="480" w:hanging="48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decimal"/>
      <w:lvlText w:val="%5."/>
      <w:lvlJc w:val="left"/>
      <w:pPr>
        <w:tabs>
          <w:tab w:val="left" w:pos="2100"/>
        </w:tabs>
        <w:ind w:left="2100" w:hanging="420"/>
      </w:pPr>
      <w:rPr>
        <w:rFonts w:ascii="Times New Roman" w:hAnsi="Times New Roman" w:eastAsia="Times New Roman"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61C081C"/>
    <w:multiLevelType w:val="multilevel"/>
    <w:tmpl w:val="061C08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67301C"/>
    <w:multiLevelType w:val="multilevel"/>
    <w:tmpl w:val="0B67301C"/>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B6D7D13"/>
    <w:multiLevelType w:val="multilevel"/>
    <w:tmpl w:val="0B6D7D13"/>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D536067"/>
    <w:multiLevelType w:val="multilevel"/>
    <w:tmpl w:val="0D536067"/>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D93754D"/>
    <w:multiLevelType w:val="multilevel"/>
    <w:tmpl w:val="0D93754D"/>
    <w:lvl w:ilvl="0" w:tentative="0">
      <w:start w:val="1"/>
      <w:numFmt w:val="japaneseCounting"/>
      <w:lvlText w:val="第%1条"/>
      <w:lvlJc w:val="left"/>
      <w:pPr>
        <w:tabs>
          <w:tab w:val="left" w:pos="1937"/>
        </w:tabs>
        <w:ind w:left="1937" w:hanging="1455"/>
      </w:pPr>
      <w:rPr>
        <w:rFonts w:hint="default" w:cs="Times New Roman"/>
        <w:b/>
        <w:i w:val="0"/>
      </w:rPr>
    </w:lvl>
    <w:lvl w:ilvl="1" w:tentative="0">
      <w:start w:val="1"/>
      <w:numFmt w:val="japaneseCounting"/>
      <w:lvlText w:val="%2．"/>
      <w:lvlJc w:val="left"/>
      <w:pPr>
        <w:tabs>
          <w:tab w:val="left" w:pos="1382"/>
        </w:tabs>
        <w:ind w:left="1382" w:hanging="480"/>
      </w:pPr>
      <w:rPr>
        <w:rFonts w:hint="default" w:cs="Times New Roman"/>
      </w:rPr>
    </w:lvl>
    <w:lvl w:ilvl="2" w:tentative="0">
      <w:start w:val="1"/>
      <w:numFmt w:val="lowerRoman"/>
      <w:lvlText w:val="%3."/>
      <w:lvlJc w:val="right"/>
      <w:pPr>
        <w:tabs>
          <w:tab w:val="left" w:pos="1742"/>
        </w:tabs>
        <w:ind w:left="1742" w:hanging="420"/>
      </w:pPr>
      <w:rPr>
        <w:rFonts w:cs="Times New Roman"/>
      </w:rPr>
    </w:lvl>
    <w:lvl w:ilvl="3" w:tentative="0">
      <w:start w:val="1"/>
      <w:numFmt w:val="japaneseCounting"/>
      <w:lvlText w:val="%4、"/>
      <w:lvlJc w:val="left"/>
      <w:pPr>
        <w:tabs>
          <w:tab w:val="left" w:pos="2162"/>
        </w:tabs>
        <w:ind w:left="2162" w:hanging="420"/>
      </w:pPr>
      <w:rPr>
        <w:rFonts w:ascii="Times New Roman" w:hAnsi="Times New Roman" w:eastAsia="Times New Roman" w:cs="Times New Roman"/>
      </w:rPr>
    </w:lvl>
    <w:lvl w:ilvl="4" w:tentative="0">
      <w:start w:val="1"/>
      <w:numFmt w:val="decimal"/>
      <w:lvlText w:val="%5."/>
      <w:lvlJc w:val="left"/>
      <w:pPr>
        <w:tabs>
          <w:tab w:val="left" w:pos="2582"/>
        </w:tabs>
        <w:ind w:left="2582" w:hanging="420"/>
      </w:pPr>
      <w:rPr>
        <w:rFonts w:ascii="Times New Roman" w:hAnsi="Times New Roman" w:eastAsia="Times New Roman" w:cs="Times New Roman"/>
      </w:rPr>
    </w:lvl>
    <w:lvl w:ilvl="5" w:tentative="0">
      <w:start w:val="1"/>
      <w:numFmt w:val="lowerRoman"/>
      <w:lvlText w:val="%6."/>
      <w:lvlJc w:val="right"/>
      <w:pPr>
        <w:tabs>
          <w:tab w:val="left" w:pos="3002"/>
        </w:tabs>
        <w:ind w:left="3002" w:hanging="420"/>
      </w:pPr>
      <w:rPr>
        <w:rFonts w:cs="Times New Roman"/>
      </w:rPr>
    </w:lvl>
    <w:lvl w:ilvl="6" w:tentative="0">
      <w:start w:val="1"/>
      <w:numFmt w:val="decimal"/>
      <w:lvlText w:val="%7."/>
      <w:lvlJc w:val="left"/>
      <w:pPr>
        <w:tabs>
          <w:tab w:val="left" w:pos="3422"/>
        </w:tabs>
        <w:ind w:left="3422" w:hanging="420"/>
      </w:pPr>
      <w:rPr>
        <w:rFonts w:cs="Times New Roman"/>
      </w:rPr>
    </w:lvl>
    <w:lvl w:ilvl="7" w:tentative="0">
      <w:start w:val="1"/>
      <w:numFmt w:val="lowerLetter"/>
      <w:lvlText w:val="%8)"/>
      <w:lvlJc w:val="left"/>
      <w:pPr>
        <w:tabs>
          <w:tab w:val="left" w:pos="3842"/>
        </w:tabs>
        <w:ind w:left="3842" w:hanging="420"/>
      </w:pPr>
      <w:rPr>
        <w:rFonts w:cs="Times New Roman"/>
      </w:rPr>
    </w:lvl>
    <w:lvl w:ilvl="8" w:tentative="0">
      <w:start w:val="1"/>
      <w:numFmt w:val="lowerRoman"/>
      <w:lvlText w:val="%9."/>
      <w:lvlJc w:val="right"/>
      <w:pPr>
        <w:tabs>
          <w:tab w:val="left" w:pos="4262"/>
        </w:tabs>
        <w:ind w:left="4262" w:hanging="420"/>
      </w:pPr>
      <w:rPr>
        <w:rFonts w:cs="Times New Roman"/>
      </w:rPr>
    </w:lvl>
  </w:abstractNum>
  <w:abstractNum w:abstractNumId="11">
    <w:nsid w:val="0FFF5C72"/>
    <w:multiLevelType w:val="multilevel"/>
    <w:tmpl w:val="0FFF5C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3">
    <w:nsid w:val="404D1750"/>
    <w:multiLevelType w:val="multilevel"/>
    <w:tmpl w:val="404D1750"/>
    <w:lvl w:ilvl="0" w:tentative="0">
      <w:start w:val="1"/>
      <w:numFmt w:val="chineseCountingThousand"/>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4">
    <w:nsid w:val="43C177CB"/>
    <w:multiLevelType w:val="multilevel"/>
    <w:tmpl w:val="43C177CB"/>
    <w:lvl w:ilvl="0" w:tentative="0">
      <w:start w:val="1"/>
      <w:numFmt w:val="chineseCountingThousand"/>
      <w:lvlText w:val="第%1条"/>
      <w:lvlJc w:val="left"/>
      <w:pPr>
        <w:tabs>
          <w:tab w:val="left" w:pos="2760"/>
        </w:tabs>
        <w:ind w:left="2760" w:hanging="1080"/>
      </w:pPr>
      <w:rPr>
        <w:rFonts w:hint="default"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420"/>
        </w:tabs>
        <w:ind w:left="420" w:hanging="420"/>
      </w:pPr>
      <w:rPr>
        <w:rFonts w:hint="default" w:ascii="Times New Roman" w:hAnsi="Times New Roman" w:cs="Times New Roman"/>
        <w:b w:val="0"/>
        <w:color w:val="auto"/>
      </w:rPr>
    </w:lvl>
    <w:lvl w:ilvl="4" w:tentative="0">
      <w:start w:val="1"/>
      <w:numFmt w:val="lowerLetter"/>
      <w:lvlText w:val="%5)"/>
      <w:lvlJc w:val="left"/>
      <w:pPr>
        <w:tabs>
          <w:tab w:val="left" w:pos="2520"/>
        </w:tabs>
        <w:ind w:left="2520" w:hanging="420"/>
      </w:pPr>
      <w:rPr>
        <w:rFonts w:cs="Times New Roman"/>
        <w:b w:val="0"/>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ind w:left="3300" w:hanging="360"/>
      </w:pPr>
      <w:rPr>
        <w:rFonts w:hint="default" w:ascii="Times New Roman" w:hAnsi="Times New Roman" w:cs="Times New Roman"/>
        <w:b w:val="0"/>
        <w:color w:val="auto"/>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15">
    <w:nsid w:val="44AF2E8B"/>
    <w:multiLevelType w:val="multilevel"/>
    <w:tmpl w:val="44AF2E8B"/>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8913041"/>
    <w:multiLevelType w:val="multilevel"/>
    <w:tmpl w:val="48913041"/>
    <w:lvl w:ilvl="0" w:tentative="0">
      <w:start w:val="1"/>
      <w:numFmt w:val="decimal"/>
      <w:lvlText w:val="%1."/>
      <w:lvlJc w:val="left"/>
      <w:pPr>
        <w:ind w:left="330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33436F0"/>
    <w:multiLevelType w:val="multilevel"/>
    <w:tmpl w:val="533436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8D07B49"/>
    <w:multiLevelType w:val="multilevel"/>
    <w:tmpl w:val="58D07B49"/>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5D9A2450"/>
    <w:multiLevelType w:val="multilevel"/>
    <w:tmpl w:val="5D9A2450"/>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4223941"/>
    <w:multiLevelType w:val="multilevel"/>
    <w:tmpl w:val="64223941"/>
    <w:lvl w:ilvl="0" w:tentative="0">
      <w:start w:val="1"/>
      <w:numFmt w:val="japaneseCounting"/>
      <w:lvlText w:val="%1、"/>
      <w:lvlJc w:val="left"/>
      <w:pPr>
        <w:ind w:left="420" w:hanging="420"/>
      </w:pPr>
      <w:rPr>
        <w:rFonts w:ascii="Times New Roman" w:hAnsi="Times New Roman" w:eastAsia="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japaneseCounting"/>
      <w:lvlText w:val="%4、"/>
      <w:lvlJc w:val="left"/>
      <w:pPr>
        <w:ind w:left="1680" w:hanging="420"/>
      </w:pPr>
      <w:rPr>
        <w:rFonts w:hint="eastAsia" w:cs="Times New Roman"/>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B91D3B"/>
    <w:multiLevelType w:val="multilevel"/>
    <w:tmpl w:val="6DB91D3B"/>
    <w:lvl w:ilvl="0" w:tentative="0">
      <w:start w:val="1"/>
      <w:numFmt w:val="decimal"/>
      <w:lvlText w:val="%1."/>
      <w:lvlJc w:val="left"/>
      <w:pPr>
        <w:ind w:left="330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23D4C5C"/>
    <w:multiLevelType w:val="multilevel"/>
    <w:tmpl w:val="723D4C5C"/>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C912537"/>
    <w:multiLevelType w:val="multilevel"/>
    <w:tmpl w:val="7C912537"/>
    <w:lvl w:ilvl="0" w:tentative="0">
      <w:start w:val="1"/>
      <w:numFmt w:val="decimal"/>
      <w:lvlText w:val="%1."/>
      <w:lvlJc w:val="left"/>
      <w:pPr>
        <w:ind w:left="330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DD52151"/>
    <w:multiLevelType w:val="multilevel"/>
    <w:tmpl w:val="7DD52151"/>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14"/>
  </w:num>
  <w:num w:numId="3">
    <w:abstractNumId w:val="22"/>
  </w:num>
  <w:num w:numId="4">
    <w:abstractNumId w:val="20"/>
  </w:num>
  <w:num w:numId="5">
    <w:abstractNumId w:val="21"/>
  </w:num>
  <w:num w:numId="6">
    <w:abstractNumId w:val="23"/>
  </w:num>
  <w:num w:numId="7">
    <w:abstractNumId w:val="16"/>
  </w:num>
  <w:num w:numId="8">
    <w:abstractNumId w:val="5"/>
  </w:num>
  <w:num w:numId="9">
    <w:abstractNumId w:val="18"/>
  </w:num>
  <w:num w:numId="10">
    <w:abstractNumId w:val="4"/>
  </w:num>
  <w:num w:numId="11">
    <w:abstractNumId w:val="15"/>
  </w:num>
  <w:num w:numId="12">
    <w:abstractNumId w:val="24"/>
  </w:num>
  <w:num w:numId="13">
    <w:abstractNumId w:val="19"/>
  </w:num>
  <w:num w:numId="14">
    <w:abstractNumId w:val="9"/>
  </w:num>
  <w:num w:numId="15">
    <w:abstractNumId w:val="7"/>
  </w:num>
  <w:num w:numId="16">
    <w:abstractNumId w:val="8"/>
  </w:num>
  <w:num w:numId="17">
    <w:abstractNumId w:val="17"/>
  </w:num>
  <w:num w:numId="18">
    <w:abstractNumId w:val="6"/>
  </w:num>
  <w:num w:numId="19">
    <w:abstractNumId w:val="11"/>
  </w:num>
  <w:num w:numId="20">
    <w:abstractNumId w:val="0"/>
  </w:num>
  <w:num w:numId="21">
    <w:abstractNumId w:val="13"/>
  </w:num>
  <w:num w:numId="22">
    <w:abstractNumId w:val="12"/>
  </w:num>
  <w:num w:numId="23">
    <w:abstractNumId w:val="2"/>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E6"/>
    <w:rsid w:val="00007019"/>
    <w:rsid w:val="000131C1"/>
    <w:rsid w:val="0003308B"/>
    <w:rsid w:val="000335BF"/>
    <w:rsid w:val="00042707"/>
    <w:rsid w:val="0004373E"/>
    <w:rsid w:val="00044B7D"/>
    <w:rsid w:val="0005137E"/>
    <w:rsid w:val="00053E9C"/>
    <w:rsid w:val="0006395F"/>
    <w:rsid w:val="00066CB3"/>
    <w:rsid w:val="00070E8D"/>
    <w:rsid w:val="000716A1"/>
    <w:rsid w:val="00072C3E"/>
    <w:rsid w:val="00073E6B"/>
    <w:rsid w:val="00081A75"/>
    <w:rsid w:val="00081FBC"/>
    <w:rsid w:val="000A0B6B"/>
    <w:rsid w:val="000B28F4"/>
    <w:rsid w:val="000D4BE1"/>
    <w:rsid w:val="000E7BC7"/>
    <w:rsid w:val="000F6E7B"/>
    <w:rsid w:val="00107BEA"/>
    <w:rsid w:val="00112490"/>
    <w:rsid w:val="00115E80"/>
    <w:rsid w:val="001277BB"/>
    <w:rsid w:val="001337C6"/>
    <w:rsid w:val="00144A38"/>
    <w:rsid w:val="001471B7"/>
    <w:rsid w:val="00156B2E"/>
    <w:rsid w:val="00172A27"/>
    <w:rsid w:val="00183670"/>
    <w:rsid w:val="0018701C"/>
    <w:rsid w:val="0019286D"/>
    <w:rsid w:val="0019465C"/>
    <w:rsid w:val="00195EDB"/>
    <w:rsid w:val="001B4B10"/>
    <w:rsid w:val="001C72A7"/>
    <w:rsid w:val="001D188B"/>
    <w:rsid w:val="001D7AFD"/>
    <w:rsid w:val="001E14E5"/>
    <w:rsid w:val="001F2220"/>
    <w:rsid w:val="00204CEC"/>
    <w:rsid w:val="00206304"/>
    <w:rsid w:val="00207138"/>
    <w:rsid w:val="00234562"/>
    <w:rsid w:val="00244347"/>
    <w:rsid w:val="00250C8C"/>
    <w:rsid w:val="0025269B"/>
    <w:rsid w:val="00263237"/>
    <w:rsid w:val="00271A90"/>
    <w:rsid w:val="00271D28"/>
    <w:rsid w:val="00285559"/>
    <w:rsid w:val="0028731B"/>
    <w:rsid w:val="002A0E41"/>
    <w:rsid w:val="002A535D"/>
    <w:rsid w:val="002B4B09"/>
    <w:rsid w:val="002C42ED"/>
    <w:rsid w:val="002D1C0D"/>
    <w:rsid w:val="002D3C5C"/>
    <w:rsid w:val="002F2B5E"/>
    <w:rsid w:val="00307A89"/>
    <w:rsid w:val="003203F6"/>
    <w:rsid w:val="00350CC9"/>
    <w:rsid w:val="0035630C"/>
    <w:rsid w:val="00356341"/>
    <w:rsid w:val="003575D4"/>
    <w:rsid w:val="00364E78"/>
    <w:rsid w:val="00366591"/>
    <w:rsid w:val="00370596"/>
    <w:rsid w:val="00380F31"/>
    <w:rsid w:val="00383677"/>
    <w:rsid w:val="00390682"/>
    <w:rsid w:val="0039348F"/>
    <w:rsid w:val="003A2590"/>
    <w:rsid w:val="003A332B"/>
    <w:rsid w:val="003A37DB"/>
    <w:rsid w:val="003A43D3"/>
    <w:rsid w:val="003B3D0D"/>
    <w:rsid w:val="003B6951"/>
    <w:rsid w:val="003C334A"/>
    <w:rsid w:val="003C6194"/>
    <w:rsid w:val="003E1BDE"/>
    <w:rsid w:val="003E4066"/>
    <w:rsid w:val="003E65A3"/>
    <w:rsid w:val="003F25F9"/>
    <w:rsid w:val="0040658A"/>
    <w:rsid w:val="00425E6C"/>
    <w:rsid w:val="00433E1C"/>
    <w:rsid w:val="0043648D"/>
    <w:rsid w:val="004425B0"/>
    <w:rsid w:val="00443F85"/>
    <w:rsid w:val="00467B0C"/>
    <w:rsid w:val="00473233"/>
    <w:rsid w:val="0047763F"/>
    <w:rsid w:val="0049220D"/>
    <w:rsid w:val="00495A6C"/>
    <w:rsid w:val="004A2C15"/>
    <w:rsid w:val="004B01D0"/>
    <w:rsid w:val="004B3C8D"/>
    <w:rsid w:val="004B4592"/>
    <w:rsid w:val="004B4809"/>
    <w:rsid w:val="004B5269"/>
    <w:rsid w:val="004C40A1"/>
    <w:rsid w:val="004D2D97"/>
    <w:rsid w:val="004D5D7B"/>
    <w:rsid w:val="004D78B3"/>
    <w:rsid w:val="004E5238"/>
    <w:rsid w:val="004F2AD7"/>
    <w:rsid w:val="005126F9"/>
    <w:rsid w:val="00515329"/>
    <w:rsid w:val="0052310D"/>
    <w:rsid w:val="00523A31"/>
    <w:rsid w:val="0054419F"/>
    <w:rsid w:val="0055685E"/>
    <w:rsid w:val="005649AF"/>
    <w:rsid w:val="00571F35"/>
    <w:rsid w:val="00581837"/>
    <w:rsid w:val="00584BA1"/>
    <w:rsid w:val="00593BF7"/>
    <w:rsid w:val="00595615"/>
    <w:rsid w:val="005A22BB"/>
    <w:rsid w:val="005B078E"/>
    <w:rsid w:val="005B229B"/>
    <w:rsid w:val="005C3CE3"/>
    <w:rsid w:val="005D3C76"/>
    <w:rsid w:val="006000ED"/>
    <w:rsid w:val="0060359F"/>
    <w:rsid w:val="0060416C"/>
    <w:rsid w:val="006051EC"/>
    <w:rsid w:val="00605DD5"/>
    <w:rsid w:val="00606B14"/>
    <w:rsid w:val="0061252E"/>
    <w:rsid w:val="00622582"/>
    <w:rsid w:val="00630E21"/>
    <w:rsid w:val="006322A0"/>
    <w:rsid w:val="0063484A"/>
    <w:rsid w:val="00640BEB"/>
    <w:rsid w:val="00646B08"/>
    <w:rsid w:val="00650D20"/>
    <w:rsid w:val="00654AF4"/>
    <w:rsid w:val="0066559E"/>
    <w:rsid w:val="00666D97"/>
    <w:rsid w:val="0069513E"/>
    <w:rsid w:val="006A0AB5"/>
    <w:rsid w:val="006A2F48"/>
    <w:rsid w:val="006A62D7"/>
    <w:rsid w:val="006A7094"/>
    <w:rsid w:val="006B1669"/>
    <w:rsid w:val="006B2F3A"/>
    <w:rsid w:val="006C06FB"/>
    <w:rsid w:val="006C576A"/>
    <w:rsid w:val="006C70CD"/>
    <w:rsid w:val="006D7CB0"/>
    <w:rsid w:val="006E0A44"/>
    <w:rsid w:val="006F4A13"/>
    <w:rsid w:val="006F6E49"/>
    <w:rsid w:val="006F740C"/>
    <w:rsid w:val="00704CB4"/>
    <w:rsid w:val="0070508C"/>
    <w:rsid w:val="00706338"/>
    <w:rsid w:val="0071193E"/>
    <w:rsid w:val="00717710"/>
    <w:rsid w:val="00720376"/>
    <w:rsid w:val="00731811"/>
    <w:rsid w:val="007354E7"/>
    <w:rsid w:val="00752423"/>
    <w:rsid w:val="00753366"/>
    <w:rsid w:val="00754029"/>
    <w:rsid w:val="007555F3"/>
    <w:rsid w:val="0076005B"/>
    <w:rsid w:val="007601C8"/>
    <w:rsid w:val="00767925"/>
    <w:rsid w:val="007702ED"/>
    <w:rsid w:val="00774992"/>
    <w:rsid w:val="00776819"/>
    <w:rsid w:val="00777355"/>
    <w:rsid w:val="00782E9B"/>
    <w:rsid w:val="0079357C"/>
    <w:rsid w:val="00793DCA"/>
    <w:rsid w:val="0079620D"/>
    <w:rsid w:val="007A0870"/>
    <w:rsid w:val="007B6DC1"/>
    <w:rsid w:val="007C0E66"/>
    <w:rsid w:val="007D497E"/>
    <w:rsid w:val="007D59C6"/>
    <w:rsid w:val="007E6459"/>
    <w:rsid w:val="007F3AFA"/>
    <w:rsid w:val="007F7031"/>
    <w:rsid w:val="00811B7C"/>
    <w:rsid w:val="00833C61"/>
    <w:rsid w:val="0084597C"/>
    <w:rsid w:val="00847EB4"/>
    <w:rsid w:val="00865EEF"/>
    <w:rsid w:val="00867AD2"/>
    <w:rsid w:val="008733E7"/>
    <w:rsid w:val="008B1D90"/>
    <w:rsid w:val="008B59D0"/>
    <w:rsid w:val="008B7DC1"/>
    <w:rsid w:val="008C0648"/>
    <w:rsid w:val="008E11B4"/>
    <w:rsid w:val="008E330A"/>
    <w:rsid w:val="008E52F4"/>
    <w:rsid w:val="008F5FD1"/>
    <w:rsid w:val="008F684B"/>
    <w:rsid w:val="00900664"/>
    <w:rsid w:val="00910312"/>
    <w:rsid w:val="0091481F"/>
    <w:rsid w:val="00931482"/>
    <w:rsid w:val="00933CEE"/>
    <w:rsid w:val="00940EBC"/>
    <w:rsid w:val="00953D61"/>
    <w:rsid w:val="0096089B"/>
    <w:rsid w:val="00961DBB"/>
    <w:rsid w:val="00970551"/>
    <w:rsid w:val="009715C3"/>
    <w:rsid w:val="009762FA"/>
    <w:rsid w:val="00976ECB"/>
    <w:rsid w:val="009830FB"/>
    <w:rsid w:val="0099028D"/>
    <w:rsid w:val="00994C9A"/>
    <w:rsid w:val="009A15D0"/>
    <w:rsid w:val="009A3569"/>
    <w:rsid w:val="009A3DDC"/>
    <w:rsid w:val="009B4317"/>
    <w:rsid w:val="009C45EB"/>
    <w:rsid w:val="009D413F"/>
    <w:rsid w:val="009F0CD0"/>
    <w:rsid w:val="009F202C"/>
    <w:rsid w:val="00A0311D"/>
    <w:rsid w:val="00A15752"/>
    <w:rsid w:val="00A171B7"/>
    <w:rsid w:val="00A246CD"/>
    <w:rsid w:val="00A32E7B"/>
    <w:rsid w:val="00A5570D"/>
    <w:rsid w:val="00A5713F"/>
    <w:rsid w:val="00A64C45"/>
    <w:rsid w:val="00A73610"/>
    <w:rsid w:val="00A741E3"/>
    <w:rsid w:val="00A744B8"/>
    <w:rsid w:val="00A74B45"/>
    <w:rsid w:val="00A769E7"/>
    <w:rsid w:val="00A81877"/>
    <w:rsid w:val="00A92694"/>
    <w:rsid w:val="00AA367A"/>
    <w:rsid w:val="00AA7A38"/>
    <w:rsid w:val="00AB426A"/>
    <w:rsid w:val="00AD464D"/>
    <w:rsid w:val="00AD47F7"/>
    <w:rsid w:val="00AE0A35"/>
    <w:rsid w:val="00AE17D8"/>
    <w:rsid w:val="00AE35AB"/>
    <w:rsid w:val="00AE4AA4"/>
    <w:rsid w:val="00AF6DAA"/>
    <w:rsid w:val="00B053B9"/>
    <w:rsid w:val="00B214DF"/>
    <w:rsid w:val="00B22BED"/>
    <w:rsid w:val="00B23369"/>
    <w:rsid w:val="00B320B5"/>
    <w:rsid w:val="00B33832"/>
    <w:rsid w:val="00B51E29"/>
    <w:rsid w:val="00B559AF"/>
    <w:rsid w:val="00B60FC2"/>
    <w:rsid w:val="00B641ED"/>
    <w:rsid w:val="00B648CB"/>
    <w:rsid w:val="00B64C29"/>
    <w:rsid w:val="00B67DB3"/>
    <w:rsid w:val="00B76668"/>
    <w:rsid w:val="00B86E90"/>
    <w:rsid w:val="00B87359"/>
    <w:rsid w:val="00B92638"/>
    <w:rsid w:val="00B92ACF"/>
    <w:rsid w:val="00B967FB"/>
    <w:rsid w:val="00BA231C"/>
    <w:rsid w:val="00BA562A"/>
    <w:rsid w:val="00BA7501"/>
    <w:rsid w:val="00BB6806"/>
    <w:rsid w:val="00BB738B"/>
    <w:rsid w:val="00BC5BC3"/>
    <w:rsid w:val="00BD13E6"/>
    <w:rsid w:val="00BD30AE"/>
    <w:rsid w:val="00BD6635"/>
    <w:rsid w:val="00BE2F32"/>
    <w:rsid w:val="00BE685F"/>
    <w:rsid w:val="00C0236F"/>
    <w:rsid w:val="00C22C60"/>
    <w:rsid w:val="00C3679D"/>
    <w:rsid w:val="00C37E76"/>
    <w:rsid w:val="00C40441"/>
    <w:rsid w:val="00C466AE"/>
    <w:rsid w:val="00C46ED8"/>
    <w:rsid w:val="00C50DCB"/>
    <w:rsid w:val="00C51F63"/>
    <w:rsid w:val="00C54740"/>
    <w:rsid w:val="00C54B24"/>
    <w:rsid w:val="00C5699C"/>
    <w:rsid w:val="00C56BA0"/>
    <w:rsid w:val="00C77784"/>
    <w:rsid w:val="00C940D8"/>
    <w:rsid w:val="00C95134"/>
    <w:rsid w:val="00CA5CE6"/>
    <w:rsid w:val="00CD2B87"/>
    <w:rsid w:val="00CD31BE"/>
    <w:rsid w:val="00CD407C"/>
    <w:rsid w:val="00CD637A"/>
    <w:rsid w:val="00CE75CD"/>
    <w:rsid w:val="00CF573B"/>
    <w:rsid w:val="00CF6985"/>
    <w:rsid w:val="00D14694"/>
    <w:rsid w:val="00D22CE8"/>
    <w:rsid w:val="00D22F74"/>
    <w:rsid w:val="00D23A42"/>
    <w:rsid w:val="00D2421F"/>
    <w:rsid w:val="00D5289F"/>
    <w:rsid w:val="00D55037"/>
    <w:rsid w:val="00D64EC7"/>
    <w:rsid w:val="00D66261"/>
    <w:rsid w:val="00D74C06"/>
    <w:rsid w:val="00D84432"/>
    <w:rsid w:val="00D9341A"/>
    <w:rsid w:val="00D96490"/>
    <w:rsid w:val="00DA0B71"/>
    <w:rsid w:val="00DA7936"/>
    <w:rsid w:val="00DB0D73"/>
    <w:rsid w:val="00DB2515"/>
    <w:rsid w:val="00DB4EC4"/>
    <w:rsid w:val="00DC0C4A"/>
    <w:rsid w:val="00DD2593"/>
    <w:rsid w:val="00DD4DDC"/>
    <w:rsid w:val="00DD5229"/>
    <w:rsid w:val="00DD5992"/>
    <w:rsid w:val="00DD5F4B"/>
    <w:rsid w:val="00DE6169"/>
    <w:rsid w:val="00E0110C"/>
    <w:rsid w:val="00E253B8"/>
    <w:rsid w:val="00E32D65"/>
    <w:rsid w:val="00E330E9"/>
    <w:rsid w:val="00E332C3"/>
    <w:rsid w:val="00E43E03"/>
    <w:rsid w:val="00E474C3"/>
    <w:rsid w:val="00E537C2"/>
    <w:rsid w:val="00E55A23"/>
    <w:rsid w:val="00E61D0B"/>
    <w:rsid w:val="00E72E4B"/>
    <w:rsid w:val="00E76763"/>
    <w:rsid w:val="00E81CBB"/>
    <w:rsid w:val="00E9166A"/>
    <w:rsid w:val="00EB192E"/>
    <w:rsid w:val="00EB5ADC"/>
    <w:rsid w:val="00EB6ECE"/>
    <w:rsid w:val="00EC2612"/>
    <w:rsid w:val="00EC3233"/>
    <w:rsid w:val="00ED466E"/>
    <w:rsid w:val="00EF4009"/>
    <w:rsid w:val="00F01929"/>
    <w:rsid w:val="00F0638B"/>
    <w:rsid w:val="00F36108"/>
    <w:rsid w:val="00F51BC7"/>
    <w:rsid w:val="00F51F50"/>
    <w:rsid w:val="00F520C7"/>
    <w:rsid w:val="00F55544"/>
    <w:rsid w:val="00F561B7"/>
    <w:rsid w:val="00F75C64"/>
    <w:rsid w:val="00F83AED"/>
    <w:rsid w:val="00F93092"/>
    <w:rsid w:val="00F965F9"/>
    <w:rsid w:val="00F9767B"/>
    <w:rsid w:val="00FC5CB4"/>
    <w:rsid w:val="00FE049D"/>
    <w:rsid w:val="00FE6199"/>
    <w:rsid w:val="00FF4622"/>
    <w:rsid w:val="00FF6E1D"/>
    <w:rsid w:val="13F27290"/>
    <w:rsid w:val="2D3D2478"/>
    <w:rsid w:val="3C37110A"/>
    <w:rsid w:val="4528524A"/>
    <w:rsid w:val="59497D39"/>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99" w:semiHidden="0" w:name="index 7"/>
    <w:lsdException w:uiPriority="99"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9"/>
    <w:pPr>
      <w:keepNext/>
      <w:keepLines/>
      <w:spacing w:before="340" w:after="330" w:line="578" w:lineRule="auto"/>
      <w:outlineLvl w:val="0"/>
    </w:pPr>
    <w:rPr>
      <w:rFonts w:eastAsia="楷体_GB2312"/>
      <w:b/>
      <w:kern w:val="44"/>
      <w:sz w:val="72"/>
      <w:szCs w:val="24"/>
    </w:rPr>
  </w:style>
  <w:style w:type="character" w:default="1" w:styleId="19">
    <w:name w:val="Default Paragraph Font"/>
    <w:unhideWhenUsed/>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44"/>
    <w:unhideWhenUsed/>
    <w:uiPriority w:val="99"/>
    <w:rPr>
      <w:b/>
      <w:bCs/>
    </w:rPr>
  </w:style>
  <w:style w:type="paragraph" w:styleId="4">
    <w:name w:val="annotation text"/>
    <w:basedOn w:val="1"/>
    <w:link w:val="43"/>
    <w:unhideWhenUsed/>
    <w:qFormat/>
    <w:uiPriority w:val="99"/>
    <w:pPr>
      <w:jc w:val="left"/>
    </w:pPr>
  </w:style>
  <w:style w:type="paragraph" w:styleId="5">
    <w:name w:val="toc 5"/>
    <w:basedOn w:val="1"/>
    <w:next w:val="1"/>
    <w:qFormat/>
    <w:uiPriority w:val="99"/>
    <w:pPr>
      <w:ind w:left="1680"/>
    </w:pPr>
  </w:style>
  <w:style w:type="paragraph" w:styleId="6">
    <w:name w:val="toc 3"/>
    <w:basedOn w:val="1"/>
    <w:next w:val="1"/>
    <w:qFormat/>
    <w:uiPriority w:val="99"/>
    <w:pPr>
      <w:ind w:left="840"/>
    </w:pPr>
  </w:style>
  <w:style w:type="paragraph" w:styleId="7">
    <w:name w:val="Plain Text"/>
    <w:basedOn w:val="1"/>
    <w:link w:val="45"/>
    <w:uiPriority w:val="0"/>
    <w:rPr>
      <w:rFonts w:ascii="宋体" w:hAnsi="Courier New"/>
      <w:kern w:val="0"/>
      <w:sz w:val="20"/>
      <w:szCs w:val="21"/>
    </w:rPr>
  </w:style>
  <w:style w:type="paragraph" w:styleId="8">
    <w:name w:val="Balloon Text"/>
    <w:basedOn w:val="1"/>
    <w:link w:val="36"/>
    <w:semiHidden/>
    <w:qFormat/>
    <w:uiPriority w:val="99"/>
    <w:rPr>
      <w:sz w:val="18"/>
      <w:szCs w:val="18"/>
    </w:rPr>
  </w:style>
  <w:style w:type="paragraph" w:styleId="9">
    <w:name w:val="footer"/>
    <w:basedOn w:val="1"/>
    <w:link w:val="27"/>
    <w:qFormat/>
    <w:uiPriority w:val="99"/>
    <w:pPr>
      <w:tabs>
        <w:tab w:val="center" w:pos="4153"/>
        <w:tab w:val="right" w:pos="8306"/>
      </w:tabs>
      <w:snapToGrid w:val="0"/>
      <w:jc w:val="left"/>
    </w:pPr>
    <w:rPr>
      <w:sz w:val="18"/>
    </w:rPr>
  </w:style>
  <w:style w:type="paragraph" w:styleId="10">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99"/>
  </w:style>
  <w:style w:type="paragraph" w:styleId="12">
    <w:name w:val="toc 4"/>
    <w:basedOn w:val="1"/>
    <w:next w:val="1"/>
    <w:qFormat/>
    <w:uiPriority w:val="99"/>
    <w:pPr>
      <w:ind w:left="1260"/>
    </w:pPr>
  </w:style>
  <w:style w:type="paragraph" w:styleId="13">
    <w:name w:val="index 7"/>
    <w:basedOn w:val="1"/>
    <w:next w:val="1"/>
    <w:qFormat/>
    <w:uiPriority w:val="99"/>
    <w:pPr>
      <w:ind w:left="2520"/>
    </w:pPr>
  </w:style>
  <w:style w:type="paragraph" w:styleId="14">
    <w:name w:val="index 9"/>
    <w:basedOn w:val="1"/>
    <w:next w:val="1"/>
    <w:qFormat/>
    <w:uiPriority w:val="99"/>
    <w:pPr>
      <w:ind w:left="3360"/>
    </w:pPr>
  </w:style>
  <w:style w:type="paragraph" w:styleId="15">
    <w:name w:val="toc 2"/>
    <w:basedOn w:val="1"/>
    <w:next w:val="1"/>
    <w:qFormat/>
    <w:uiPriority w:val="99"/>
    <w:pPr>
      <w:ind w:left="420"/>
    </w:pPr>
  </w:style>
  <w:style w:type="paragraph" w:styleId="16">
    <w:name w:val="Normal (Web)"/>
    <w:basedOn w:val="1"/>
    <w:qFormat/>
    <w:uiPriority w:val="99"/>
    <w:pPr>
      <w:widowControl/>
      <w:spacing w:before="100" w:beforeAutospacing="1" w:after="100" w:afterAutospacing="1"/>
      <w:jc w:val="left"/>
    </w:pPr>
    <w:rPr>
      <w:rFonts w:hint="eastAsia" w:ascii="宋体" w:hAnsi="宋体"/>
      <w:kern w:val="0"/>
      <w:sz w:val="24"/>
      <w:szCs w:val="24"/>
    </w:rPr>
  </w:style>
  <w:style w:type="paragraph" w:styleId="17">
    <w:name w:val="index 1"/>
    <w:basedOn w:val="1"/>
    <w:next w:val="1"/>
    <w:uiPriority w:val="0"/>
    <w:pPr>
      <w:adjustRightInd w:val="0"/>
      <w:snapToGrid w:val="0"/>
      <w:jc w:val="center"/>
    </w:pPr>
  </w:style>
  <w:style w:type="paragraph" w:styleId="18">
    <w:name w:val="Title"/>
    <w:basedOn w:val="1"/>
    <w:next w:val="1"/>
    <w:link w:val="46"/>
    <w:qFormat/>
    <w:locked/>
    <w:uiPriority w:val="0"/>
    <w:pPr>
      <w:spacing w:before="60" w:after="60"/>
      <w:jc w:val="center"/>
      <w:outlineLvl w:val="0"/>
    </w:pPr>
    <w:rPr>
      <w:rFonts w:ascii="Cambria" w:hAnsi="Cambria" w:eastAsia="黑体"/>
      <w:b/>
      <w:bCs/>
      <w:kern w:val="0"/>
      <w:sz w:val="32"/>
      <w:szCs w:val="32"/>
    </w:rPr>
  </w:style>
  <w:style w:type="character" w:styleId="20">
    <w:name w:val="Strong"/>
    <w:qFormat/>
    <w:locked/>
    <w:uiPriority w:val="0"/>
    <w:rPr>
      <w:b/>
      <w:bCs/>
    </w:rPr>
  </w:style>
  <w:style w:type="character" w:styleId="21">
    <w:name w:val="page number"/>
    <w:basedOn w:val="19"/>
    <w:qFormat/>
    <w:uiPriority w:val="99"/>
    <w:rPr>
      <w:rFonts w:cs="Times New Roman"/>
    </w:rPr>
  </w:style>
  <w:style w:type="character" w:styleId="22">
    <w:name w:val="Hyperlink"/>
    <w:basedOn w:val="19"/>
    <w:qFormat/>
    <w:uiPriority w:val="99"/>
    <w:rPr>
      <w:rFonts w:cs="Times New Roman"/>
      <w:color w:val="0000FF"/>
      <w:u w:val="single"/>
    </w:rPr>
  </w:style>
  <w:style w:type="character" w:styleId="23">
    <w:name w:val="annotation reference"/>
    <w:basedOn w:val="19"/>
    <w:unhideWhenUsed/>
    <w:qFormat/>
    <w:uiPriority w:val="99"/>
    <w:rPr>
      <w:sz w:val="21"/>
      <w:szCs w:val="21"/>
    </w:rPr>
  </w:style>
  <w:style w:type="table" w:styleId="25">
    <w:name w:val="Table Grid"/>
    <w:basedOn w:val="24"/>
    <w:qFormat/>
    <w:uiPriority w:val="59"/>
    <w:pPr>
      <w:spacing w:before="100" w:beforeAutospacing="1" w:after="100" w:afterAutospacing="1"/>
    </w:pPr>
    <w:rPr>
      <w:rFonts w:ascii="Arial" w:hAnsi="Arial" w:cs="Arial"/>
      <w:color w:val="000000"/>
      <w:sz w:val="32"/>
      <w:szCs w:val="3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6">
    <w:name w:val="标题 1 Char"/>
    <w:basedOn w:val="19"/>
    <w:link w:val="2"/>
    <w:qFormat/>
    <w:uiPriority w:val="9"/>
    <w:rPr>
      <w:b/>
      <w:bCs/>
      <w:kern w:val="44"/>
      <w:sz w:val="44"/>
      <w:szCs w:val="44"/>
    </w:rPr>
  </w:style>
  <w:style w:type="character" w:customStyle="1" w:styleId="27">
    <w:name w:val="页脚 Char"/>
    <w:basedOn w:val="19"/>
    <w:link w:val="9"/>
    <w:semiHidden/>
    <w:qFormat/>
    <w:uiPriority w:val="99"/>
    <w:rPr>
      <w:sz w:val="18"/>
      <w:szCs w:val="18"/>
    </w:rPr>
  </w:style>
  <w:style w:type="character" w:customStyle="1" w:styleId="28">
    <w:name w:val="页眉 Char"/>
    <w:basedOn w:val="19"/>
    <w:link w:val="10"/>
    <w:semiHidden/>
    <w:qFormat/>
    <w:uiPriority w:val="99"/>
    <w:rPr>
      <w:sz w:val="18"/>
      <w:szCs w:val="18"/>
    </w:rPr>
  </w:style>
  <w:style w:type="paragraph" w:customStyle="1" w:styleId="29">
    <w:name w:val="Char"/>
    <w:next w:val="13"/>
    <w:qFormat/>
    <w:uiPriority w:val="99"/>
    <w:pPr>
      <w:widowControl w:val="0"/>
      <w:spacing w:line="360" w:lineRule="auto"/>
      <w:ind w:left="-1" w:leftChars="-1" w:firstLine="2"/>
    </w:pPr>
    <w:rPr>
      <w:rFonts w:ascii="宋体" w:hAnsi="Times New Roman" w:eastAsia="宋体" w:cs="Times New Roman"/>
      <w:sz w:val="30"/>
      <w:szCs w:val="30"/>
      <w:lang w:val="en-US" w:eastAsia="zh-CN" w:bidi="ar-SA"/>
    </w:rPr>
  </w:style>
  <w:style w:type="paragraph" w:customStyle="1" w:styleId="30">
    <w:name w:val="样式 标题 2 + Times New Roman 四号 非加粗 段前: 5 磅 段后: 0 磅 行距: 固定值 20..."/>
    <w:next w:val="5"/>
    <w:qFormat/>
    <w:uiPriority w:val="99"/>
    <w:pPr>
      <w:keepNext/>
      <w:keepLines/>
      <w:widowControl w:val="0"/>
      <w:spacing w:before="100" w:line="400" w:lineRule="exact"/>
      <w:jc w:val="both"/>
      <w:outlineLvl w:val="1"/>
    </w:pPr>
    <w:rPr>
      <w:rFonts w:ascii="Times New Roman" w:hAnsi="Times New Roman" w:eastAsia="黑体" w:cs="宋体"/>
      <w:kern w:val="2"/>
      <w:sz w:val="28"/>
      <w:szCs w:val="24"/>
      <w:lang w:val="en-US" w:eastAsia="zh-CN" w:bidi="ar-SA"/>
    </w:rPr>
  </w:style>
  <w:style w:type="paragraph" w:customStyle="1" w:styleId="31">
    <w:name w:val="样式 正文文本"/>
    <w:next w:val="14"/>
    <w:qFormat/>
    <w:uiPriority w:val="0"/>
    <w:pPr>
      <w:widowControl w:val="0"/>
      <w:adjustRightInd w:val="0"/>
      <w:snapToGrid w:val="0"/>
      <w:spacing w:line="400" w:lineRule="exact"/>
      <w:ind w:firstLine="200" w:firstLineChars="200"/>
      <w:jc w:val="both"/>
    </w:pPr>
    <w:rPr>
      <w:rFonts w:ascii="Arial" w:hAnsi="Arial" w:eastAsia="宋体" w:cs="Times New Roman"/>
      <w:color w:val="000000"/>
      <w:kern w:val="2"/>
      <w:sz w:val="21"/>
      <w:lang w:val="en-US" w:eastAsia="zh-CN" w:bidi="ar-SA"/>
    </w:rPr>
  </w:style>
  <w:style w:type="paragraph" w:customStyle="1" w:styleId="32">
    <w:name w:val="样式 样式1 + 首行缩进:  2 字符"/>
    <w:next w:val="6"/>
    <w:qFormat/>
    <w:uiPriority w:val="0"/>
    <w:pPr>
      <w:widowControl w:val="0"/>
      <w:spacing w:line="360" w:lineRule="exact"/>
      <w:ind w:firstLine="200" w:firstLineChars="200"/>
      <w:jc w:val="both"/>
    </w:pPr>
    <w:rPr>
      <w:rFonts w:ascii="Arial" w:hAnsi="Arial" w:eastAsia="宋体" w:cs="Times New Roman"/>
      <w:kern w:val="2"/>
      <w:sz w:val="21"/>
      <w:lang w:val="en-US" w:eastAsia="zh-CN" w:bidi="ar-SA"/>
    </w:rPr>
  </w:style>
  <w:style w:type="paragraph" w:customStyle="1" w:styleId="33">
    <w:name w:val="样式 标题 3 + (中文) 黑体 小四 非加粗 段前: 7.8 磅 段后: 0 磅 行距: 固定值 20 磅"/>
    <w:next w:val="15"/>
    <w:qFormat/>
    <w:uiPriority w:val="99"/>
    <w:pPr>
      <w:keepNext/>
      <w:keepLines/>
      <w:widowControl w:val="0"/>
      <w:spacing w:line="400" w:lineRule="exact"/>
      <w:jc w:val="both"/>
      <w:outlineLvl w:val="2"/>
    </w:pPr>
    <w:rPr>
      <w:rFonts w:ascii="Times New Roman" w:hAnsi="Times New Roman" w:eastAsia="黑体" w:cs="宋体"/>
      <w:kern w:val="2"/>
      <w:sz w:val="24"/>
      <w:szCs w:val="24"/>
      <w:lang w:val="en-US" w:eastAsia="zh-CN" w:bidi="ar-SA"/>
    </w:rPr>
  </w:style>
  <w:style w:type="paragraph" w:customStyle="1" w:styleId="34">
    <w:name w:val="样式 样式 样式1 + 首行缩进:  2 字符 + 左侧:  0.74 厘米"/>
    <w:next w:val="12"/>
    <w:qFormat/>
    <w:uiPriority w:val="99"/>
    <w:pPr>
      <w:widowControl w:val="0"/>
      <w:spacing w:line="360" w:lineRule="exact"/>
      <w:ind w:firstLine="200" w:firstLineChars="200"/>
      <w:jc w:val="both"/>
    </w:pPr>
    <w:rPr>
      <w:rFonts w:ascii="Arial" w:hAnsi="Arial" w:eastAsia="宋体" w:cs="Times New Roman"/>
      <w:kern w:val="2"/>
      <w:sz w:val="21"/>
      <w:lang w:val="en-US" w:eastAsia="zh-CN" w:bidi="ar-SA"/>
    </w:rPr>
  </w:style>
  <w:style w:type="paragraph" w:customStyle="1" w:styleId="35">
    <w:name w:val="内文正文"/>
    <w:next w:val="11"/>
    <w:uiPriority w:val="99"/>
    <w:pPr>
      <w:autoSpaceDE w:val="0"/>
      <w:autoSpaceDN w:val="0"/>
      <w:spacing w:line="400" w:lineRule="exact"/>
      <w:ind w:firstLine="200" w:firstLineChars="200"/>
      <w:jc w:val="both"/>
      <w:textAlignment w:val="bottom"/>
    </w:pPr>
    <w:rPr>
      <w:rFonts w:ascii="宋体" w:hAnsi="Times New Roman" w:eastAsia="宋体" w:cs="Times New Roman"/>
      <w:sz w:val="21"/>
      <w:lang w:val="en-US" w:eastAsia="zh-CN" w:bidi="ar-SA"/>
    </w:rPr>
  </w:style>
  <w:style w:type="character" w:customStyle="1" w:styleId="36">
    <w:name w:val="批注框文本 Char"/>
    <w:basedOn w:val="19"/>
    <w:link w:val="8"/>
    <w:semiHidden/>
    <w:qFormat/>
    <w:uiPriority w:val="99"/>
    <w:rPr>
      <w:sz w:val="0"/>
      <w:szCs w:val="0"/>
    </w:rPr>
  </w:style>
  <w:style w:type="paragraph" w:customStyle="1" w:styleId="37">
    <w:name w:val="列出段落1"/>
    <w:basedOn w:val="1"/>
    <w:qFormat/>
    <w:uiPriority w:val="0"/>
    <w:pPr>
      <w:ind w:firstLine="420" w:firstLineChars="200"/>
    </w:pPr>
    <w:rPr>
      <w:rFonts w:ascii="Calibri" w:hAnsi="Calibri"/>
    </w:rPr>
  </w:style>
  <w:style w:type="paragraph" w:customStyle="1" w:styleId="38">
    <w:name w:val="小正文"/>
    <w:basedOn w:val="1"/>
    <w:link w:val="39"/>
    <w:qFormat/>
    <w:uiPriority w:val="0"/>
    <w:pPr>
      <w:spacing w:line="560" w:lineRule="exact"/>
      <w:ind w:firstLine="560" w:firstLineChars="200"/>
      <w:jc w:val="left"/>
    </w:pPr>
    <w:rPr>
      <w:rFonts w:ascii="仿宋_GB2312" w:hAnsi="宋体" w:eastAsia="仿宋_GB2312"/>
      <w:kern w:val="0"/>
      <w:sz w:val="28"/>
      <w:szCs w:val="28"/>
    </w:rPr>
  </w:style>
  <w:style w:type="character" w:customStyle="1" w:styleId="39">
    <w:name w:val="小正文 Char"/>
    <w:basedOn w:val="19"/>
    <w:link w:val="38"/>
    <w:qFormat/>
    <w:uiPriority w:val="0"/>
    <w:rPr>
      <w:rFonts w:ascii="仿宋_GB2312" w:hAnsi="宋体" w:eastAsia="仿宋_GB2312"/>
      <w:kern w:val="0"/>
      <w:sz w:val="28"/>
      <w:szCs w:val="28"/>
    </w:rPr>
  </w:style>
  <w:style w:type="paragraph" w:customStyle="1" w:styleId="40">
    <w:name w:val="一、"/>
    <w:basedOn w:val="1"/>
    <w:link w:val="41"/>
    <w:qFormat/>
    <w:uiPriority w:val="0"/>
    <w:pPr>
      <w:widowControl/>
      <w:tabs>
        <w:tab w:val="left" w:pos="720"/>
      </w:tabs>
      <w:spacing w:line="560" w:lineRule="exact"/>
      <w:ind w:firstLine="562" w:firstLineChars="200"/>
      <w:jc w:val="left"/>
      <w:outlineLvl w:val="1"/>
    </w:pPr>
    <w:rPr>
      <w:rFonts w:ascii="仿宋_GB2312" w:hAnsi="宋体" w:eastAsia="仿宋_GB2312" w:cs="宋体"/>
      <w:b/>
      <w:kern w:val="0"/>
      <w:sz w:val="28"/>
      <w:szCs w:val="28"/>
    </w:rPr>
  </w:style>
  <w:style w:type="character" w:customStyle="1" w:styleId="41">
    <w:name w:val="一、 Char"/>
    <w:basedOn w:val="19"/>
    <w:link w:val="40"/>
    <w:qFormat/>
    <w:uiPriority w:val="0"/>
    <w:rPr>
      <w:rFonts w:ascii="仿宋_GB2312" w:hAnsi="宋体" w:eastAsia="仿宋_GB2312" w:cs="宋体"/>
      <w:b/>
      <w:kern w:val="0"/>
      <w:sz w:val="28"/>
      <w:szCs w:val="28"/>
    </w:rPr>
  </w:style>
  <w:style w:type="paragraph" w:customStyle="1" w:styleId="42">
    <w:name w:val="列出段落2"/>
    <w:basedOn w:val="1"/>
    <w:unhideWhenUsed/>
    <w:qFormat/>
    <w:uiPriority w:val="34"/>
    <w:pPr>
      <w:ind w:firstLine="420" w:firstLineChars="200"/>
    </w:pPr>
  </w:style>
  <w:style w:type="character" w:customStyle="1" w:styleId="43">
    <w:name w:val="批注文字 Char"/>
    <w:basedOn w:val="19"/>
    <w:link w:val="4"/>
    <w:semiHidden/>
    <w:uiPriority w:val="99"/>
    <w:rPr>
      <w:kern w:val="2"/>
      <w:sz w:val="21"/>
    </w:rPr>
  </w:style>
  <w:style w:type="character" w:customStyle="1" w:styleId="44">
    <w:name w:val="批注主题 Char"/>
    <w:basedOn w:val="43"/>
    <w:link w:val="3"/>
    <w:semiHidden/>
    <w:uiPriority w:val="99"/>
    <w:rPr>
      <w:b/>
      <w:bCs/>
      <w:kern w:val="2"/>
      <w:sz w:val="21"/>
    </w:rPr>
  </w:style>
  <w:style w:type="character" w:customStyle="1" w:styleId="45">
    <w:name w:val="纯文本 Char"/>
    <w:link w:val="7"/>
    <w:uiPriority w:val="0"/>
    <w:rPr>
      <w:rFonts w:ascii="宋体" w:hAnsi="Courier New"/>
      <w:szCs w:val="21"/>
    </w:rPr>
  </w:style>
  <w:style w:type="character" w:customStyle="1" w:styleId="46">
    <w:name w:val="标题 Char"/>
    <w:link w:val="18"/>
    <w:uiPriority w:val="0"/>
    <w:rPr>
      <w:rFonts w:ascii="Cambria" w:hAnsi="Cambria" w:eastAsia="黑体"/>
      <w:b/>
      <w:bCs/>
      <w:sz w:val="32"/>
      <w:szCs w:val="32"/>
    </w:rPr>
  </w:style>
  <w:style w:type="character" w:customStyle="1" w:styleId="47">
    <w:name w:val="纯文本 Char1"/>
    <w:basedOn w:val="19"/>
    <w:semiHidden/>
    <w:qFormat/>
    <w:uiPriority w:val="99"/>
    <w:rPr>
      <w:rFonts w:ascii="宋体" w:hAnsi="Courier New" w:cs="Courier New"/>
      <w:kern w:val="2"/>
      <w:sz w:val="21"/>
      <w:szCs w:val="21"/>
    </w:rPr>
  </w:style>
  <w:style w:type="character" w:customStyle="1" w:styleId="48">
    <w:name w:val="标题 Char1"/>
    <w:basedOn w:val="19"/>
    <w:uiPriority w:val="0"/>
    <w:rPr>
      <w:rFonts w:asciiTheme="majorHAnsi" w:hAnsiTheme="majorHAnsi" w:cstheme="majorBidi"/>
      <w:b/>
      <w:bCs/>
      <w:kern w:val="2"/>
      <w:sz w:val="32"/>
      <w:szCs w:val="32"/>
    </w:rPr>
  </w:style>
  <w:style w:type="paragraph" w:customStyle="1" w:styleId="4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E3AB1-309B-407D-8A7E-D9877701505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3481</Words>
  <Characters>19845</Characters>
  <Lines>165</Lines>
  <Paragraphs>46</Paragraphs>
  <TotalTime>0</TotalTime>
  <ScaleCrop>false</ScaleCrop>
  <LinksUpToDate>false</LinksUpToDate>
  <CharactersWithSpaces>23280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2020-01-20T02:47:00Z</dcterms:created>
  <dc:creator>微软中国</dc:creator>
  <cp:lastModifiedBy>贾思勰</cp:lastModifiedBy>
  <cp:lastPrinted>2014-11-12T04:02:00Z</cp:lastPrinted>
  <dcterms:modified xsi:type="dcterms:W3CDTF">2020-01-20T10:08:58Z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