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jc w:val="center"/>
        <w:outlineLvl w:val="0"/>
        <w:rPr>
          <w:rFonts w:ascii="Cambria" w:hAnsi="Cambria" w:eastAsia="黑体"/>
          <w:b/>
          <w:bCs/>
          <w:sz w:val="44"/>
          <w:szCs w:val="44"/>
        </w:rPr>
      </w:pPr>
      <w:bookmarkStart w:id="0" w:name="_Toc412649842"/>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
          <w:bCs/>
          <w:sz w:val="44"/>
          <w:szCs w:val="44"/>
        </w:rPr>
      </w:pPr>
      <w:r>
        <w:rPr>
          <w:rFonts w:hint="eastAsia" w:ascii="Cambria" w:hAnsi="Cambria" w:eastAsia="黑体"/>
          <w:b/>
          <w:bCs/>
          <w:sz w:val="44"/>
          <w:szCs w:val="44"/>
        </w:rPr>
        <w:t>资金存放选聘合作金融机构项目</w:t>
      </w:r>
    </w:p>
    <w:p>
      <w:pPr>
        <w:spacing w:before="60" w:after="60"/>
        <w:jc w:val="center"/>
        <w:outlineLvl w:val="0"/>
        <w:rPr>
          <w:rFonts w:ascii="Cambria" w:hAnsi="Cambria" w:eastAsia="黑体"/>
          <w:b/>
          <w:bCs/>
          <w:sz w:val="44"/>
          <w:szCs w:val="44"/>
        </w:rPr>
      </w:pPr>
      <w:r>
        <w:rPr>
          <w:rFonts w:hint="eastAsia" w:ascii="Cambria" w:hAnsi="Cambria" w:eastAsia="黑体"/>
          <w:b/>
          <w:bCs/>
          <w:sz w:val="44"/>
          <w:szCs w:val="44"/>
        </w:rPr>
        <w:t>招标文件</w:t>
      </w:r>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
          <w:bCs/>
          <w:sz w:val="44"/>
          <w:szCs w:val="44"/>
        </w:rPr>
      </w:pPr>
    </w:p>
    <w:p>
      <w:pPr>
        <w:spacing w:before="60" w:after="60"/>
        <w:jc w:val="center"/>
        <w:outlineLvl w:val="0"/>
        <w:rPr>
          <w:rFonts w:ascii="Cambria" w:hAnsi="Cambria" w:eastAsia="黑体"/>
          <w:bCs/>
          <w:sz w:val="32"/>
          <w:szCs w:val="32"/>
        </w:rPr>
      </w:pPr>
      <w:r>
        <w:rPr>
          <w:rFonts w:hint="eastAsia" w:ascii="Cambria" w:hAnsi="Cambria" w:eastAsia="黑体"/>
          <w:bCs/>
          <w:sz w:val="32"/>
          <w:szCs w:val="32"/>
        </w:rPr>
        <w:t>招标人：杭州空港产学研服务有限公司</w:t>
      </w:r>
    </w:p>
    <w:p>
      <w:pPr>
        <w:spacing w:line="580" w:lineRule="exact"/>
        <w:jc w:val="center"/>
        <w:outlineLvl w:val="0"/>
        <w:rPr>
          <w:rFonts w:ascii="Cambria" w:hAnsi="Cambria" w:eastAsia="黑体"/>
          <w:b/>
          <w:bCs/>
          <w:sz w:val="44"/>
          <w:szCs w:val="44"/>
        </w:rPr>
      </w:pPr>
      <w:r>
        <w:rPr>
          <w:rFonts w:ascii="Cambria" w:hAnsi="Cambria" w:eastAsia="黑体"/>
          <w:b/>
          <w:bCs/>
          <w:sz w:val="44"/>
          <w:szCs w:val="44"/>
        </w:rPr>
        <w:br w:type="page"/>
      </w:r>
      <w:r>
        <w:rPr>
          <w:rFonts w:hint="eastAsia" w:ascii="Cambria" w:hAnsi="Cambria" w:eastAsia="黑体"/>
          <w:b/>
          <w:bCs/>
          <w:sz w:val="44"/>
          <w:szCs w:val="44"/>
        </w:rPr>
        <w:t>招标公告</w:t>
      </w:r>
      <w:bookmarkEnd w:id="0"/>
    </w:p>
    <w:p>
      <w:pPr>
        <w:widowControl/>
        <w:snapToGrid w:val="0"/>
        <w:spacing w:line="560" w:lineRule="exact"/>
        <w:jc w:val="left"/>
        <w:rPr>
          <w:rFonts w:ascii="仿宋_GB2312" w:hAnsi="Arial" w:eastAsia="仿宋_GB2312" w:cs="Arial"/>
          <w:kern w:val="0"/>
          <w:sz w:val="32"/>
          <w:szCs w:val="32"/>
        </w:rPr>
      </w:pPr>
      <w:bookmarkStart w:id="1" w:name="_GoBack"/>
      <w:r>
        <w:rPr>
          <w:rFonts w:hint="eastAsia" w:ascii="仿宋_GB2312" w:hAnsi="Arial" w:eastAsia="仿宋_GB2312" w:cs="Arial"/>
          <w:b/>
          <w:bCs/>
          <w:kern w:val="0"/>
          <w:sz w:val="32"/>
          <w:szCs w:val="32"/>
        </w:rPr>
        <w:t>一、招标内容</w:t>
      </w:r>
    </w:p>
    <w:p>
      <w:pPr>
        <w:widowControl/>
        <w:adjustRightInd w:val="0"/>
        <w:snapToGrid w:val="0"/>
        <w:spacing w:line="56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rPr>
        <w:t>杭州空港产学研服务有限公司就下属分公司的资金存放开户银行进行公开招标，选聘一家合作金融机构，合作期限3年，欢迎符合资格要求的金融机构参与投标。</w:t>
      </w:r>
    </w:p>
    <w:p>
      <w:pPr>
        <w:widowControl/>
        <w:snapToGrid w:val="0"/>
        <w:spacing w:line="560" w:lineRule="exact"/>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二、</w:t>
      </w:r>
      <w:r>
        <w:rPr>
          <w:rFonts w:ascii="仿宋_GB2312" w:hAnsi="Arial" w:eastAsia="仿宋_GB2312" w:cs="Arial"/>
          <w:b/>
          <w:bCs/>
          <w:kern w:val="0"/>
          <w:sz w:val="32"/>
          <w:szCs w:val="32"/>
        </w:rPr>
        <w:t> </w:t>
      </w:r>
      <w:r>
        <w:rPr>
          <w:rFonts w:hint="eastAsia" w:ascii="仿宋_GB2312" w:hAnsi="Arial" w:eastAsia="仿宋_GB2312" w:cs="Arial"/>
          <w:b/>
          <w:bCs/>
          <w:kern w:val="0"/>
          <w:sz w:val="32"/>
          <w:szCs w:val="32"/>
        </w:rPr>
        <w:t>资格要求</w:t>
      </w:r>
      <w:r>
        <w:rPr>
          <w:rFonts w:ascii="仿宋_GB2312" w:hAnsi="Arial" w:eastAsia="仿宋_GB2312" w:cs="Arial"/>
          <w:b/>
          <w:bCs/>
          <w:kern w:val="0"/>
          <w:sz w:val="32"/>
          <w:szCs w:val="32"/>
        </w:rPr>
        <w:t> </w:t>
      </w:r>
    </w:p>
    <w:p>
      <w:pPr>
        <w:widowControl/>
        <w:adjustRightInd w:val="0"/>
        <w:snapToGrid w:val="0"/>
        <w:spacing w:line="56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rPr>
        <w:t>（</w:t>
      </w:r>
      <w:r>
        <w:rPr>
          <w:rFonts w:ascii="仿宋_GB2312" w:hAnsi="宋体" w:eastAsia="仿宋_GB2312" w:cs="Arial"/>
          <w:kern w:val="0"/>
          <w:sz w:val="32"/>
          <w:szCs w:val="32"/>
        </w:rPr>
        <w:t>1</w:t>
      </w:r>
      <w:r>
        <w:rPr>
          <w:rFonts w:hint="eastAsia" w:ascii="仿宋_GB2312" w:hAnsi="宋体" w:eastAsia="仿宋_GB2312" w:cs="Arial"/>
          <w:kern w:val="0"/>
          <w:sz w:val="32"/>
          <w:szCs w:val="32"/>
        </w:rPr>
        <w:t>）参加投标的金融机构必须为合法设立的市分行或以上机构，并须提供有效的金融业务许可证，具有在当地从事相关金融服务的资质。</w:t>
      </w:r>
    </w:p>
    <w:p>
      <w:pPr>
        <w:widowControl/>
        <w:adjustRightInd w:val="0"/>
        <w:snapToGrid w:val="0"/>
        <w:spacing w:line="56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rPr>
        <w:t>（</w:t>
      </w:r>
      <w:r>
        <w:rPr>
          <w:rFonts w:ascii="仿宋_GB2312" w:hAnsi="宋体" w:eastAsia="仿宋_GB2312" w:cs="Arial"/>
          <w:kern w:val="0"/>
          <w:sz w:val="32"/>
          <w:szCs w:val="32"/>
        </w:rPr>
        <w:t>2</w:t>
      </w:r>
      <w:r>
        <w:rPr>
          <w:rFonts w:hint="eastAsia" w:ascii="仿宋_GB2312" w:hAnsi="宋体" w:eastAsia="仿宋_GB2312" w:cs="Arial"/>
          <w:kern w:val="0"/>
          <w:sz w:val="32"/>
          <w:szCs w:val="32"/>
        </w:rPr>
        <w:t>）能独立承担民事责任和具有履行合同应具有的法定资质和响应能力，具有良好的商业信誉和健全的财务会计管理制度，有依法缴纳税收和社会保障资金的良好记录，在前三年内的经营活动中没有重大违法记录和不良记录。</w:t>
      </w:r>
    </w:p>
    <w:p>
      <w:pPr>
        <w:widowControl/>
        <w:adjustRightInd w:val="0"/>
        <w:snapToGrid w:val="0"/>
        <w:spacing w:line="560" w:lineRule="exact"/>
        <w:ind w:firstLine="640" w:firstLineChars="200"/>
        <w:rPr>
          <w:rFonts w:ascii="仿宋_GB2312" w:hAnsi="宋体" w:eastAsia="仿宋_GB2312" w:cs="Arial"/>
          <w:kern w:val="0"/>
          <w:sz w:val="32"/>
          <w:szCs w:val="32"/>
        </w:rPr>
      </w:pPr>
      <w:r>
        <w:rPr>
          <w:rFonts w:hint="eastAsia" w:ascii="仿宋_GB2312" w:hAnsi="宋体" w:eastAsia="仿宋_GB2312" w:cs="Arial"/>
          <w:kern w:val="0"/>
          <w:sz w:val="32"/>
          <w:szCs w:val="32"/>
        </w:rPr>
        <w:t>（3）投标单位获中国人民银行杭州中心支行最近年度综合评价</w:t>
      </w:r>
      <w:r>
        <w:rPr>
          <w:rFonts w:ascii="仿宋_GB2312" w:hAnsi="宋体" w:eastAsia="仿宋_GB2312" w:cs="Arial"/>
          <w:kern w:val="0"/>
          <w:sz w:val="32"/>
          <w:szCs w:val="32"/>
        </w:rPr>
        <w:t>B</w:t>
      </w:r>
      <w:r>
        <w:rPr>
          <w:rFonts w:hint="eastAsia" w:ascii="仿宋_GB2312" w:hAnsi="宋体" w:eastAsia="仿宋_GB2312" w:cs="Arial"/>
          <w:kern w:val="0"/>
          <w:sz w:val="32"/>
          <w:szCs w:val="32"/>
        </w:rPr>
        <w:t>级及以上（其中：城市商业银行要求最近年度综合评价</w:t>
      </w:r>
      <w:r>
        <w:rPr>
          <w:rFonts w:ascii="仿宋_GB2312" w:hAnsi="宋体" w:eastAsia="仿宋_GB2312" w:cs="Arial"/>
          <w:kern w:val="0"/>
          <w:sz w:val="32"/>
          <w:szCs w:val="32"/>
        </w:rPr>
        <w:t>A级）,浙江银监局</w:t>
      </w:r>
      <w:r>
        <w:rPr>
          <w:rFonts w:hint="eastAsia" w:ascii="仿宋_GB2312" w:hAnsi="宋体" w:eastAsia="仿宋_GB2312" w:cs="Arial"/>
          <w:kern w:val="0"/>
          <w:sz w:val="32"/>
          <w:szCs w:val="32"/>
        </w:rPr>
        <w:t>最近年度监管评级</w:t>
      </w:r>
      <w:r>
        <w:rPr>
          <w:rFonts w:ascii="仿宋_GB2312" w:hAnsi="宋体" w:eastAsia="仿宋_GB2312" w:cs="Arial"/>
          <w:kern w:val="0"/>
          <w:sz w:val="32"/>
          <w:szCs w:val="32"/>
        </w:rPr>
        <w:t>2</w:t>
      </w:r>
      <w:r>
        <w:rPr>
          <w:rFonts w:hint="eastAsia" w:ascii="仿宋_GB2312" w:hAnsi="宋体" w:eastAsia="仿宋_GB2312" w:cs="Arial"/>
          <w:kern w:val="0"/>
          <w:sz w:val="32"/>
          <w:szCs w:val="32"/>
        </w:rPr>
        <w:t>级及以上。</w:t>
      </w:r>
    </w:p>
    <w:p>
      <w:pPr>
        <w:widowControl/>
        <w:snapToGrid w:val="0"/>
        <w:spacing w:line="560" w:lineRule="exact"/>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三、招标文件获取</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凡符合资格条件并有投标意向的金融机构，请</w:t>
      </w:r>
      <w:r>
        <w:rPr>
          <w:rFonts w:hint="eastAsia" w:ascii="仿宋_GB2312" w:hAnsi="宋体" w:eastAsia="仿宋_GB2312" w:cs="Arial"/>
          <w:kern w:val="0"/>
          <w:sz w:val="32"/>
          <w:szCs w:val="32"/>
        </w:rPr>
        <w:t>通过浙江省机场集团有限公司主页</w:t>
      </w:r>
      <w:r>
        <w:fldChar w:fldCharType="begin"/>
      </w:r>
      <w:r>
        <w:instrText xml:space="preserve"> HYPERLINK "http://www.zjsairport.com/" </w:instrText>
      </w:r>
      <w:r>
        <w:fldChar w:fldCharType="separate"/>
      </w:r>
      <w:r>
        <w:rPr>
          <w:rFonts w:hint="eastAsia" w:ascii="仿宋_GB2312" w:hAnsi="宋体" w:eastAsia="仿宋_GB2312"/>
          <w:sz w:val="32"/>
          <w:szCs w:val="32"/>
          <w:u w:val="single"/>
        </w:rPr>
        <w:t>http://www.zjsairport.com/</w:t>
      </w:r>
      <w:r>
        <w:rPr>
          <w:rFonts w:hint="eastAsia" w:ascii="仿宋_GB2312" w:hAnsi="宋体" w:eastAsia="仿宋_GB2312"/>
          <w:sz w:val="32"/>
          <w:szCs w:val="32"/>
          <w:u w:val="single"/>
        </w:rPr>
        <w:fldChar w:fldCharType="end"/>
      </w:r>
      <w:r>
        <w:rPr>
          <w:rFonts w:hint="eastAsia" w:ascii="仿宋_GB2312" w:hAnsi="宋体" w:eastAsia="仿宋_GB2312"/>
          <w:sz w:val="32"/>
          <w:szCs w:val="32"/>
        </w:rPr>
        <w:t>自行下载招标文件。</w:t>
      </w:r>
    </w:p>
    <w:p>
      <w:pPr>
        <w:widowControl/>
        <w:snapToGrid w:val="0"/>
        <w:spacing w:line="560" w:lineRule="exact"/>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四、投标文件的递交</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（一）当面递交或以特快专递方式提交密封的投标文件，逾期送达的或者未送达指定地点的竞投文件，招标人不予受理。</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（二）投递地址：浙江省机场集团行政楼 朱宗勇 </w:t>
      </w:r>
    </w:p>
    <w:p>
      <w:pPr>
        <w:snapToGrid w:val="0"/>
        <w:spacing w:line="560" w:lineRule="exact"/>
        <w:ind w:firstLine="640" w:firstLineChars="200"/>
        <w:rPr>
          <w:rFonts w:ascii="仿宋_GB2312" w:hAnsi="宋体" w:eastAsia="仿宋_GB2312"/>
          <w:sz w:val="30"/>
          <w:szCs w:val="30"/>
        </w:rPr>
      </w:pPr>
      <w:r>
        <w:rPr>
          <w:rFonts w:hint="eastAsia" w:ascii="仿宋_GB2312" w:hAnsi="宋体" w:eastAsia="仿宋_GB2312"/>
          <w:sz w:val="32"/>
          <w:szCs w:val="32"/>
        </w:rPr>
        <w:t>（三）截止日期：2020年4月1</w:t>
      </w:r>
      <w:r>
        <w:rPr>
          <w:rFonts w:hint="eastAsia" w:ascii="仿宋_GB2312" w:hAnsi="宋体" w:eastAsia="仿宋_GB2312"/>
          <w:sz w:val="32"/>
          <w:szCs w:val="32"/>
          <w:lang w:val="en-US" w:eastAsia="zh-CN"/>
        </w:rPr>
        <w:t>7</w:t>
      </w:r>
      <w:r>
        <w:rPr>
          <w:rFonts w:hint="eastAsia" w:ascii="仿宋_GB2312" w:hAnsi="宋体" w:eastAsia="仿宋_GB2312"/>
          <w:sz w:val="32"/>
          <w:szCs w:val="32"/>
        </w:rPr>
        <w:t>日上午10</w:t>
      </w:r>
      <w:r>
        <w:rPr>
          <w:rFonts w:ascii="仿宋_GB2312" w:hAnsi="宋体" w:eastAsia="仿宋_GB2312"/>
          <w:sz w:val="32"/>
          <w:szCs w:val="32"/>
        </w:rPr>
        <w:t>:00</w:t>
      </w:r>
      <w:r>
        <w:rPr>
          <w:rFonts w:hint="eastAsia" w:ascii="仿宋_GB2312" w:hAnsi="宋体" w:eastAsia="仿宋_GB2312"/>
          <w:sz w:val="32"/>
          <w:szCs w:val="32"/>
        </w:rPr>
        <w:t>时（北京时间）</w:t>
      </w:r>
    </w:p>
    <w:p>
      <w:pPr>
        <w:widowControl/>
        <w:snapToGrid w:val="0"/>
        <w:spacing w:line="560" w:lineRule="exact"/>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五、发布公告的媒介</w:t>
      </w:r>
    </w:p>
    <w:p>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本次招标公告在中国采购与招标网、浙江省机场集团有限公司等网站上发布。</w:t>
      </w:r>
    </w:p>
    <w:p>
      <w:pPr>
        <w:widowControl/>
        <w:snapToGrid w:val="0"/>
        <w:spacing w:line="560" w:lineRule="exact"/>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六、联系方式</w:t>
      </w:r>
    </w:p>
    <w:p>
      <w:pPr>
        <w:widowControl/>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业务联系人：柴龙飞</w:t>
      </w:r>
      <w:r>
        <w:rPr>
          <w:rFonts w:ascii="仿宋_GB2312" w:hAnsi="宋体" w:eastAsia="仿宋_GB2312"/>
          <w:sz w:val="32"/>
          <w:szCs w:val="32"/>
        </w:rPr>
        <w:t> </w:t>
      </w:r>
      <w:r>
        <w:rPr>
          <w:rFonts w:hint="eastAsia" w:ascii="仿宋_GB2312" w:hAnsi="宋体" w:eastAsia="仿宋_GB2312"/>
          <w:sz w:val="32"/>
          <w:szCs w:val="32"/>
        </w:rPr>
        <w:t>联系电话：13868019673</w:t>
      </w:r>
    </w:p>
    <w:p>
      <w:pPr>
        <w:widowControl/>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投标联系人：朱宗勇  联系电话：</w:t>
      </w:r>
      <w:r>
        <w:rPr>
          <w:rFonts w:ascii="仿宋_GB2312" w:hAnsi="宋体" w:eastAsia="仿宋_GB2312"/>
          <w:sz w:val="32"/>
          <w:szCs w:val="32"/>
        </w:rPr>
        <w:t>0571-</w:t>
      </w:r>
      <w:r>
        <w:rPr>
          <w:rFonts w:hint="eastAsia" w:ascii="仿宋_GB2312" w:hAnsi="宋体" w:eastAsia="仿宋_GB2312"/>
          <w:sz w:val="32"/>
          <w:szCs w:val="32"/>
        </w:rPr>
        <w:t>83833304</w:t>
      </w:r>
    </w:p>
    <w:p>
      <w:pPr>
        <w:widowControl/>
        <w:snapToGrid w:val="0"/>
        <w:spacing w:line="560" w:lineRule="exact"/>
        <w:ind w:firstLine="640" w:firstLineChars="200"/>
        <w:jc w:val="left"/>
        <w:rPr>
          <w:rFonts w:ascii="仿宋_GB2312" w:hAnsi="宋体" w:eastAsia="仿宋_GB2312"/>
          <w:sz w:val="30"/>
          <w:szCs w:val="30"/>
        </w:rPr>
      </w:pPr>
      <w:r>
        <w:rPr>
          <w:rFonts w:hint="eastAsia" w:ascii="仿宋_GB2312" w:hAnsi="宋体" w:eastAsia="仿宋_GB2312"/>
          <w:sz w:val="32"/>
          <w:szCs w:val="32"/>
        </w:rPr>
        <w:t>招标监督人：何  博</w:t>
      </w:r>
      <w:r>
        <w:rPr>
          <w:rFonts w:ascii="仿宋_GB2312" w:hAnsi="宋体" w:eastAsia="仿宋_GB2312"/>
          <w:sz w:val="32"/>
          <w:szCs w:val="32"/>
        </w:rPr>
        <w:t> </w:t>
      </w:r>
      <w:r>
        <w:rPr>
          <w:rFonts w:hint="eastAsia" w:ascii="仿宋_GB2312" w:hAnsi="宋体" w:eastAsia="仿宋_GB2312"/>
          <w:sz w:val="32"/>
          <w:szCs w:val="32"/>
        </w:rPr>
        <w:t>联系电话：</w:t>
      </w:r>
      <w:r>
        <w:rPr>
          <w:rFonts w:ascii="仿宋_GB2312" w:hAnsi="宋体" w:eastAsia="仿宋_GB2312"/>
          <w:sz w:val="32"/>
          <w:szCs w:val="32"/>
        </w:rPr>
        <w:t>0571-</w:t>
      </w:r>
      <w:r>
        <w:rPr>
          <w:rFonts w:hint="eastAsia" w:ascii="仿宋_GB2312" w:hAnsi="宋体" w:eastAsia="仿宋_GB2312"/>
          <w:sz w:val="32"/>
          <w:szCs w:val="32"/>
        </w:rPr>
        <w:t>83833304</w:t>
      </w:r>
      <w:bookmarkEnd w:id="1"/>
      <w:r>
        <w:rPr>
          <w:rFonts w:ascii="仿宋_GB2312" w:hAnsi="宋体" w:eastAsia="仿宋_GB2312"/>
          <w:sz w:val="30"/>
          <w:szCs w:val="30"/>
        </w:rPr>
        <w:br w:type="page"/>
      </w:r>
    </w:p>
    <w:p>
      <w:pPr>
        <w:spacing w:line="58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杭州空港产学研服务有限公司萧山分公司</w:t>
      </w:r>
    </w:p>
    <w:p>
      <w:pPr>
        <w:spacing w:line="58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资金存放开户银行招标文件</w:t>
      </w:r>
    </w:p>
    <w:p>
      <w:pPr>
        <w:spacing w:line="580" w:lineRule="exact"/>
        <w:jc w:val="center"/>
        <w:rPr>
          <w:rFonts w:ascii="黑体" w:hAnsi="Times New Roman" w:eastAsia="黑体"/>
          <w:sz w:val="28"/>
          <w:szCs w:val="24"/>
        </w:rPr>
      </w:pPr>
    </w:p>
    <w:p>
      <w:pPr>
        <w:spacing w:line="560" w:lineRule="exact"/>
        <w:jc w:val="center"/>
        <w:rPr>
          <w:rFonts w:ascii="黑体" w:hAnsi="Times New Roman" w:eastAsia="黑体"/>
          <w:b/>
          <w:bCs/>
          <w:sz w:val="32"/>
          <w:szCs w:val="32"/>
        </w:rPr>
      </w:pPr>
      <w:r>
        <w:rPr>
          <w:rFonts w:hint="eastAsia" w:ascii="黑体" w:hAnsi="Times New Roman" w:eastAsia="黑体"/>
          <w:b/>
          <w:bCs/>
          <w:sz w:val="32"/>
          <w:szCs w:val="32"/>
        </w:rPr>
        <w:t>一、综合说明</w:t>
      </w:r>
    </w:p>
    <w:p>
      <w:pPr>
        <w:spacing w:line="560" w:lineRule="exact"/>
        <w:ind w:firstLine="630" w:firstLineChars="196"/>
        <w:rPr>
          <w:rFonts w:ascii="仿宋_GB2312" w:hAnsi="Times New Roman" w:eastAsia="仿宋_GB2312"/>
          <w:b/>
          <w:bCs/>
          <w:sz w:val="32"/>
          <w:szCs w:val="32"/>
        </w:rPr>
      </w:pPr>
      <w:r>
        <w:rPr>
          <w:rFonts w:ascii="仿宋_GB2312" w:hAnsi="Times New Roman" w:eastAsia="仿宋_GB2312"/>
          <w:b/>
          <w:bCs/>
          <w:sz w:val="32"/>
          <w:szCs w:val="32"/>
        </w:rPr>
        <w:t>1</w:t>
      </w:r>
      <w:r>
        <w:rPr>
          <w:rFonts w:hint="eastAsia" w:ascii="仿宋_GB2312" w:hAnsi="Times New Roman" w:eastAsia="仿宋_GB2312"/>
          <w:b/>
          <w:bCs/>
          <w:sz w:val="32"/>
          <w:szCs w:val="32"/>
        </w:rPr>
        <w:t>．公司及资金存放开户银行招标概况</w:t>
      </w:r>
    </w:p>
    <w:p>
      <w:pPr>
        <w:spacing w:line="560" w:lineRule="exact"/>
        <w:ind w:firstLine="646"/>
        <w:rPr>
          <w:rFonts w:ascii="仿宋_GB2312" w:eastAsia="仿宋_GB2312"/>
          <w:sz w:val="32"/>
          <w:szCs w:val="32"/>
        </w:rPr>
      </w:pPr>
      <w:r>
        <w:rPr>
          <w:rFonts w:hint="eastAsia" w:ascii="仿宋_GB2312" w:hAnsi="宋体" w:eastAsia="仿宋_GB2312" w:cs="Arial"/>
          <w:kern w:val="0"/>
          <w:sz w:val="32"/>
          <w:szCs w:val="32"/>
        </w:rPr>
        <w:t>杭州空港产学研服务有限公司（以下简称“服务公司”）成立于2019年11月，由</w:t>
      </w:r>
      <w:r>
        <w:rPr>
          <w:rFonts w:hint="eastAsia" w:ascii="仿宋_GB2312" w:eastAsia="仿宋_GB2312"/>
          <w:sz w:val="32"/>
          <w:szCs w:val="32"/>
        </w:rPr>
        <w:t>浙江空港培训服务咨询有限公司</w:t>
      </w:r>
      <w:r>
        <w:rPr>
          <w:rFonts w:hint="eastAsia" w:ascii="仿宋_GB2312" w:hAnsi="宋体" w:eastAsia="仿宋_GB2312" w:cs="Arial"/>
          <w:kern w:val="0"/>
          <w:sz w:val="32"/>
          <w:szCs w:val="32"/>
        </w:rPr>
        <w:t>（以下简称“</w:t>
      </w:r>
      <w:r>
        <w:rPr>
          <w:rFonts w:hint="eastAsia" w:ascii="仿宋_GB2312" w:hAnsi="宋体" w:eastAsia="仿宋_GB2312" w:cs="Arial"/>
          <w:kern w:val="0"/>
          <w:sz w:val="32"/>
          <w:szCs w:val="32"/>
          <w:lang w:val="en-US" w:eastAsia="zh-CN"/>
        </w:rPr>
        <w:t>培训</w:t>
      </w:r>
      <w:r>
        <w:rPr>
          <w:rFonts w:hint="eastAsia" w:ascii="仿宋_GB2312" w:hAnsi="宋体" w:eastAsia="仿宋_GB2312" w:cs="Arial"/>
          <w:kern w:val="0"/>
          <w:sz w:val="32"/>
          <w:szCs w:val="32"/>
        </w:rPr>
        <w:t>公司”）</w:t>
      </w:r>
      <w:r>
        <w:rPr>
          <w:rFonts w:hint="eastAsia" w:ascii="仿宋_GB2312" w:eastAsia="仿宋_GB2312"/>
          <w:sz w:val="32"/>
          <w:szCs w:val="32"/>
        </w:rPr>
        <w:t>全资注入，</w:t>
      </w:r>
      <w:r>
        <w:rPr>
          <w:rFonts w:hint="eastAsia" w:ascii="仿宋_GB2312" w:hAnsi="宋体" w:eastAsia="仿宋_GB2312" w:cs="Arial"/>
          <w:kern w:val="0"/>
          <w:sz w:val="32"/>
          <w:szCs w:val="32"/>
        </w:rPr>
        <w:t>注册资本金100万元，为浙江省机场集团二级全资子公司。</w:t>
      </w:r>
      <w:r>
        <w:rPr>
          <w:rFonts w:hint="eastAsia" w:ascii="仿宋_GB2312" w:eastAsia="仿宋_GB2312"/>
          <w:sz w:val="32"/>
          <w:szCs w:val="32"/>
        </w:rPr>
        <w:t>负责浙江空港培训服务咨询有限公司下辖航空产学研基地酒店及物业的运营和管理。</w:t>
      </w:r>
    </w:p>
    <w:p>
      <w:pPr>
        <w:spacing w:line="560" w:lineRule="exact"/>
        <w:ind w:firstLine="646"/>
        <w:rPr>
          <w:rFonts w:ascii="仿宋_GB2312" w:eastAsia="仿宋_GB2312"/>
          <w:sz w:val="32"/>
          <w:szCs w:val="32"/>
        </w:rPr>
      </w:pPr>
      <w:r>
        <w:rPr>
          <w:rFonts w:hint="eastAsia" w:ascii="仿宋_GB2312" w:hAnsi="宋体" w:eastAsia="仿宋_GB2312" w:cs="Arial"/>
          <w:kern w:val="0"/>
          <w:sz w:val="32"/>
          <w:szCs w:val="32"/>
        </w:rPr>
        <w:t>杭州空港产学研服务有限公司萧山分公司于2020年1月成立，</w:t>
      </w:r>
      <w:r>
        <w:rPr>
          <w:rFonts w:hint="eastAsia" w:ascii="仿宋_GB2312" w:eastAsia="仿宋_GB2312"/>
          <w:sz w:val="32"/>
          <w:szCs w:val="32"/>
        </w:rPr>
        <w:t>负责服务公司杭州基地酒店的运营和管理。</w:t>
      </w:r>
    </w:p>
    <w:p>
      <w:pPr>
        <w:spacing w:line="560" w:lineRule="exact"/>
        <w:ind w:firstLine="646"/>
        <w:rPr>
          <w:rFonts w:ascii="仿宋_GB2312" w:eastAsia="仿宋_GB2312"/>
          <w:sz w:val="32"/>
          <w:szCs w:val="32"/>
        </w:rPr>
      </w:pPr>
      <w:r>
        <w:rPr>
          <w:rFonts w:hint="eastAsia" w:ascii="仿宋_GB2312" w:hAnsi="Times New Roman" w:eastAsia="仿宋_GB2312"/>
          <w:sz w:val="32"/>
          <w:szCs w:val="32"/>
        </w:rPr>
        <w:t>现根据相关要求，就</w:t>
      </w:r>
      <w:r>
        <w:rPr>
          <w:rFonts w:hint="eastAsia" w:ascii="仿宋_GB2312" w:hAnsi="宋体" w:eastAsia="仿宋_GB2312" w:cs="Arial"/>
          <w:kern w:val="0"/>
          <w:sz w:val="32"/>
          <w:szCs w:val="32"/>
        </w:rPr>
        <w:t>杭州空港产学研服务有限公司萧山分公司</w:t>
      </w:r>
      <w:r>
        <w:rPr>
          <w:rFonts w:hint="eastAsia" w:ascii="仿宋_GB2312" w:hAnsi="Times New Roman" w:eastAsia="仿宋_GB2312"/>
          <w:sz w:val="32"/>
          <w:szCs w:val="32"/>
        </w:rPr>
        <w:t>资金存放开户银行，采取公开招标方式，择优评定合作金融机构。</w:t>
      </w:r>
    </w:p>
    <w:p>
      <w:pPr>
        <w:spacing w:line="560" w:lineRule="exact"/>
        <w:ind w:firstLine="630" w:firstLineChars="196"/>
        <w:rPr>
          <w:rFonts w:ascii="仿宋_GB2312" w:hAnsi="Times New Roman" w:eastAsia="仿宋_GB2312"/>
          <w:b/>
          <w:bCs/>
          <w:sz w:val="32"/>
          <w:szCs w:val="32"/>
        </w:rPr>
      </w:pPr>
      <w:r>
        <w:rPr>
          <w:rFonts w:ascii="仿宋_GB2312" w:hAnsi="Times New Roman" w:eastAsia="仿宋_GB2312"/>
          <w:b/>
          <w:bCs/>
          <w:sz w:val="32"/>
          <w:szCs w:val="32"/>
        </w:rPr>
        <w:t>2</w:t>
      </w:r>
      <w:r>
        <w:rPr>
          <w:rFonts w:hint="eastAsia" w:ascii="仿宋_GB2312" w:hAnsi="Times New Roman" w:eastAsia="仿宋_GB2312"/>
          <w:b/>
          <w:bCs/>
          <w:sz w:val="32"/>
          <w:szCs w:val="32"/>
        </w:rPr>
        <w:t>．招标内容</w:t>
      </w:r>
    </w:p>
    <w:p>
      <w:pPr>
        <w:spacing w:line="560" w:lineRule="exact"/>
        <w:ind w:firstLine="629"/>
        <w:rPr>
          <w:rFonts w:ascii="仿宋_GB2312" w:hAnsi="Times New Roman" w:eastAsia="仿宋_GB2312"/>
          <w:sz w:val="32"/>
          <w:szCs w:val="32"/>
        </w:rPr>
      </w:pPr>
      <w:r>
        <w:rPr>
          <w:rFonts w:hint="eastAsia" w:ascii="仿宋_GB2312" w:hAnsi="Times New Roman" w:eastAsia="仿宋_GB2312"/>
          <w:sz w:val="32"/>
          <w:szCs w:val="32"/>
        </w:rPr>
        <w:t>2.1本次资金存放（均为人民币）银行开户招标共计一个标段，选定一家合作金融机构，具体为：</w:t>
      </w:r>
    </w:p>
    <w:p>
      <w:pPr>
        <w:spacing w:line="560" w:lineRule="exact"/>
        <w:ind w:firstLine="629"/>
        <w:rPr>
          <w:rFonts w:ascii="仿宋_GB2312" w:hAnsi="Times New Roman" w:eastAsia="仿宋_GB2312"/>
          <w:sz w:val="32"/>
          <w:szCs w:val="32"/>
        </w:rPr>
      </w:pPr>
      <w:r>
        <w:rPr>
          <w:rFonts w:hint="eastAsia" w:ascii="仿宋_GB2312" w:hAnsi="Times New Roman" w:eastAsia="仿宋_GB2312"/>
          <w:sz w:val="32"/>
          <w:szCs w:val="32"/>
        </w:rPr>
        <w:t>标段：</w:t>
      </w:r>
      <w:r>
        <w:rPr>
          <w:rFonts w:hint="eastAsia" w:ascii="仿宋_GB2312" w:hAnsi="宋体" w:eastAsia="仿宋_GB2312" w:cs="Arial"/>
          <w:kern w:val="0"/>
          <w:sz w:val="32"/>
          <w:szCs w:val="32"/>
        </w:rPr>
        <w:t>杭州空港产学研服务有限公司萧山分公司</w:t>
      </w:r>
      <w:r>
        <w:rPr>
          <w:rFonts w:hint="eastAsia" w:ascii="仿宋_GB2312" w:hAnsi="Times New Roman" w:eastAsia="仿宋_GB2312"/>
          <w:sz w:val="32"/>
          <w:szCs w:val="32"/>
        </w:rPr>
        <w:t>资金存放基本户；</w:t>
      </w:r>
    </w:p>
    <w:p>
      <w:pPr>
        <w:spacing w:line="560" w:lineRule="exact"/>
        <w:ind w:firstLine="629"/>
        <w:rPr>
          <w:rFonts w:ascii="仿宋_GB2312" w:hAnsi="Times New Roman" w:eastAsia="仿宋_GB2312"/>
          <w:sz w:val="32"/>
          <w:szCs w:val="32"/>
        </w:rPr>
      </w:pPr>
      <w:r>
        <w:rPr>
          <w:rFonts w:hint="eastAsia" w:ascii="仿宋_GB2312" w:hAnsi="Times New Roman" w:eastAsia="仿宋_GB2312"/>
          <w:sz w:val="32"/>
          <w:szCs w:val="32"/>
        </w:rPr>
        <w:t>2.2账户主要用途：</w:t>
      </w:r>
    </w:p>
    <w:p>
      <w:pPr>
        <w:spacing w:line="560" w:lineRule="exact"/>
        <w:ind w:firstLine="629"/>
        <w:rPr>
          <w:rFonts w:ascii="仿宋_GB2312" w:hAnsi="Times New Roman" w:eastAsia="仿宋_GB2312"/>
          <w:sz w:val="32"/>
          <w:szCs w:val="32"/>
        </w:rPr>
      </w:pPr>
      <w:r>
        <w:rPr>
          <w:rFonts w:hint="eastAsia" w:ascii="仿宋_GB2312" w:hAnsi="宋体" w:eastAsia="仿宋_GB2312" w:cs="Arial"/>
          <w:kern w:val="0"/>
          <w:sz w:val="32"/>
          <w:szCs w:val="32"/>
        </w:rPr>
        <w:t>杭州空港产学研服务有限公司萧山分公司</w:t>
      </w:r>
      <w:r>
        <w:rPr>
          <w:rFonts w:hint="eastAsia" w:ascii="仿宋_GB2312" w:hAnsi="Times New Roman" w:eastAsia="仿宋_GB2312"/>
          <w:sz w:val="32"/>
          <w:szCs w:val="32"/>
        </w:rPr>
        <w:t>资金存放基本户主要是存放公司日常经营活动和接受投资所产生的资金。</w:t>
      </w:r>
    </w:p>
    <w:p>
      <w:pPr>
        <w:spacing w:line="560" w:lineRule="exact"/>
        <w:ind w:firstLine="630" w:firstLineChars="196"/>
        <w:rPr>
          <w:rFonts w:ascii="仿宋_GB2312" w:hAnsi="Times New Roman" w:eastAsia="仿宋_GB2312"/>
          <w:b/>
          <w:bCs/>
          <w:sz w:val="32"/>
          <w:szCs w:val="32"/>
        </w:rPr>
      </w:pPr>
      <w:r>
        <w:rPr>
          <w:rFonts w:ascii="仿宋_GB2312" w:hAnsi="Times New Roman" w:eastAsia="仿宋_GB2312"/>
          <w:b/>
          <w:bCs/>
          <w:sz w:val="32"/>
          <w:szCs w:val="32"/>
        </w:rPr>
        <w:t>3</w:t>
      </w:r>
      <w:r>
        <w:rPr>
          <w:rFonts w:hint="eastAsia" w:ascii="仿宋_GB2312" w:hAnsi="Times New Roman" w:eastAsia="仿宋_GB2312"/>
          <w:b/>
          <w:bCs/>
          <w:sz w:val="32"/>
          <w:szCs w:val="32"/>
        </w:rPr>
        <w:t>．投标响应内容和要求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3.1承诺可提供的存款利率，包括：活期存款、协定存款、大额存单、定期存款的利率，以及今后利率调整政策；</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3.2 承诺可提供的配套金融服务；</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3.3投标单位的资质（包括近三年人行综合评价得分及银监监管评级）、外部信用评级，以及与省机场集团及下属公司过往合作主要业绩；</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3.4其他需说明的情况。</w:t>
      </w:r>
    </w:p>
    <w:p>
      <w:pPr>
        <w:spacing w:line="560" w:lineRule="exact"/>
        <w:ind w:firstLine="630" w:firstLineChars="196"/>
        <w:rPr>
          <w:rFonts w:ascii="仿宋_GB2312" w:hAnsi="Times New Roman" w:eastAsia="仿宋_GB2312"/>
          <w:b/>
          <w:bCs/>
          <w:sz w:val="32"/>
          <w:szCs w:val="32"/>
        </w:rPr>
      </w:pPr>
      <w:r>
        <w:rPr>
          <w:rFonts w:hint="eastAsia" w:ascii="仿宋_GB2312" w:hAnsi="Times New Roman" w:eastAsia="仿宋_GB2312"/>
          <w:b/>
          <w:bCs/>
          <w:sz w:val="32"/>
          <w:szCs w:val="32"/>
        </w:rPr>
        <w:t>4．项目期限</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本项目招标选定的金融机构合作期限为3年，合作期间如本公司上级单位进行资金集中管控，则合同可随时终止。</w:t>
      </w:r>
    </w:p>
    <w:p>
      <w:pPr>
        <w:spacing w:line="54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5．特别说明</w:t>
      </w:r>
    </w:p>
    <w:p>
      <w:pPr>
        <w:spacing w:line="5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w:t>
      </w:r>
      <w:r>
        <w:rPr>
          <w:rFonts w:ascii="仿宋_GB2312" w:hAnsi="Times New Roman" w:eastAsia="仿宋_GB2312"/>
          <w:sz w:val="32"/>
          <w:szCs w:val="32"/>
        </w:rPr>
        <w:t>.1</w:t>
      </w:r>
      <w:r>
        <w:rPr>
          <w:rFonts w:hint="eastAsia" w:ascii="仿宋_GB2312" w:hAnsi="Times New Roman" w:eastAsia="仿宋_GB2312"/>
          <w:sz w:val="32"/>
          <w:szCs w:val="32"/>
        </w:rPr>
        <w:t>在符合金融机构有关规定的前提下，招标人根据自身业务需要，有权随时对存放资金进行使用，包括：提现、支付、划款等；</w:t>
      </w:r>
    </w:p>
    <w:p>
      <w:pPr>
        <w:spacing w:line="540" w:lineRule="exact"/>
        <w:ind w:firstLine="629"/>
        <w:rPr>
          <w:rFonts w:ascii="仿宋_GB2312" w:eastAsia="仿宋_GB2312"/>
          <w:sz w:val="32"/>
          <w:szCs w:val="32"/>
        </w:rPr>
      </w:pPr>
      <w:r>
        <w:rPr>
          <w:rFonts w:hint="eastAsia" w:ascii="仿宋_GB2312" w:hAnsi="Times New Roman" w:eastAsia="仿宋_GB2312"/>
          <w:sz w:val="32"/>
          <w:szCs w:val="32"/>
        </w:rPr>
        <w:t>5</w:t>
      </w:r>
      <w:r>
        <w:rPr>
          <w:rFonts w:ascii="仿宋_GB2312" w:hAnsi="Times New Roman" w:eastAsia="仿宋_GB2312"/>
          <w:sz w:val="32"/>
          <w:szCs w:val="32"/>
        </w:rPr>
        <w:t>.2</w:t>
      </w:r>
      <w:r>
        <w:rPr>
          <w:rFonts w:hint="eastAsia" w:ascii="仿宋_GB2312" w:hAnsi="Times New Roman" w:eastAsia="仿宋_GB2312"/>
          <w:sz w:val="32"/>
          <w:szCs w:val="32"/>
        </w:rPr>
        <w:t>因</w:t>
      </w:r>
      <w:r>
        <w:rPr>
          <w:rFonts w:hint="eastAsia" w:ascii="仿宋_GB2312" w:eastAsia="仿宋_GB2312"/>
          <w:sz w:val="32"/>
          <w:szCs w:val="32"/>
        </w:rPr>
        <w:t>行业或政府主管部门的要求，指定存放的款项在上述招标范围内均有可能调整。</w:t>
      </w:r>
    </w:p>
    <w:p>
      <w:pPr>
        <w:spacing w:line="5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5.3</w:t>
      </w:r>
      <w:r>
        <w:rPr>
          <w:rFonts w:hint="eastAsia" w:ascii="仿宋_GB2312" w:hAnsi="Times New Roman" w:eastAsia="仿宋_GB2312"/>
          <w:sz w:val="32"/>
          <w:szCs w:val="32"/>
        </w:rPr>
        <w:tab/>
      </w:r>
      <w:r>
        <w:rPr>
          <w:rFonts w:hint="eastAsia" w:ascii="仿宋_GB2312" w:hAnsi="Times New Roman" w:eastAsia="仿宋_GB2312"/>
          <w:sz w:val="32"/>
          <w:szCs w:val="32"/>
        </w:rPr>
        <w:t>对招标文件的修改将采用补充公告的形式发布，所有获得招标文件的投标人应自行关注网站公告，招标人不再一一通知。投标人因自身贻误行为导致投标失败的，责任自负。</w:t>
      </w:r>
    </w:p>
    <w:p>
      <w:pPr>
        <w:spacing w:line="540" w:lineRule="exact"/>
        <w:ind w:firstLine="640" w:firstLineChars="200"/>
        <w:rPr>
          <w:rFonts w:ascii="黑体" w:hAnsi="Times New Roman" w:eastAsia="黑体"/>
          <w:b/>
          <w:bCs/>
          <w:sz w:val="32"/>
          <w:szCs w:val="32"/>
        </w:rPr>
      </w:pPr>
      <w:r>
        <w:rPr>
          <w:rFonts w:hint="eastAsia" w:ascii="仿宋_GB2312" w:hAnsi="Times New Roman" w:eastAsia="仿宋_GB2312"/>
          <w:sz w:val="32"/>
          <w:szCs w:val="32"/>
        </w:rPr>
        <w:t>5.4招标结束后，由招标人和中标人统一组织服务协议的签订工作，协议签订主体为各标的公司与所属区域内的中标人具体服务机构。</w:t>
      </w:r>
    </w:p>
    <w:p>
      <w:pPr>
        <w:spacing w:line="560" w:lineRule="exact"/>
        <w:jc w:val="center"/>
        <w:rPr>
          <w:rFonts w:ascii="黑体" w:hAnsi="Times New Roman" w:eastAsia="黑体"/>
          <w:b/>
          <w:bCs/>
          <w:sz w:val="32"/>
          <w:szCs w:val="32"/>
        </w:rPr>
      </w:pPr>
    </w:p>
    <w:p>
      <w:pPr>
        <w:spacing w:line="560" w:lineRule="exact"/>
        <w:jc w:val="center"/>
        <w:rPr>
          <w:rFonts w:ascii="黑体" w:hAnsi="Times New Roman" w:eastAsia="黑体"/>
          <w:b/>
          <w:bCs/>
          <w:sz w:val="32"/>
          <w:szCs w:val="32"/>
        </w:rPr>
      </w:pPr>
      <w:r>
        <w:rPr>
          <w:rFonts w:hint="eastAsia" w:ascii="黑体" w:hAnsi="Times New Roman" w:eastAsia="黑体"/>
          <w:b/>
          <w:bCs/>
          <w:sz w:val="32"/>
          <w:szCs w:val="32"/>
        </w:rPr>
        <w:t>二、投标须知</w:t>
      </w:r>
    </w:p>
    <w:p>
      <w:pPr>
        <w:spacing w:line="560" w:lineRule="exact"/>
        <w:ind w:firstLine="630" w:firstLineChars="196"/>
        <w:rPr>
          <w:rFonts w:ascii="仿宋_GB2312" w:hAnsi="Times New Roman" w:eastAsia="仿宋_GB2312"/>
          <w:b/>
          <w:bCs/>
          <w:sz w:val="32"/>
          <w:szCs w:val="32"/>
        </w:rPr>
      </w:pPr>
      <w:r>
        <w:rPr>
          <w:rFonts w:ascii="仿宋_GB2312" w:hAnsi="Times New Roman" w:eastAsia="仿宋_GB2312"/>
          <w:b/>
          <w:bCs/>
          <w:sz w:val="32"/>
          <w:szCs w:val="32"/>
        </w:rPr>
        <w:t>1</w:t>
      </w:r>
      <w:r>
        <w:rPr>
          <w:rFonts w:hint="eastAsia" w:ascii="仿宋_GB2312" w:hAnsi="Times New Roman" w:eastAsia="仿宋_GB2312"/>
          <w:b/>
          <w:bCs/>
          <w:sz w:val="32"/>
          <w:szCs w:val="32"/>
        </w:rPr>
        <w:t>．投标单位资质要求</w:t>
      </w:r>
    </w:p>
    <w:p>
      <w:pPr>
        <w:spacing w:line="560" w:lineRule="exact"/>
        <w:ind w:firstLine="640" w:firstLineChars="200"/>
        <w:rPr>
          <w:rFonts w:ascii="仿宋_GB2312" w:hAnsi="宋体" w:eastAsia="仿宋_GB2312" w:cs="Arial"/>
          <w:kern w:val="0"/>
          <w:sz w:val="32"/>
          <w:szCs w:val="32"/>
          <w:highlight w:val="yellow"/>
        </w:rPr>
      </w:pPr>
      <w:r>
        <w:rPr>
          <w:rFonts w:ascii="仿宋_GB2312" w:hAnsi="Times New Roman" w:eastAsia="仿宋_GB2312"/>
          <w:sz w:val="32"/>
          <w:szCs w:val="32"/>
        </w:rPr>
        <w:t>1.1</w:t>
      </w:r>
      <w:r>
        <w:rPr>
          <w:rFonts w:hint="eastAsia" w:ascii="仿宋_GB2312" w:hAnsi="宋体" w:eastAsia="仿宋_GB2312" w:cs="Arial"/>
          <w:kern w:val="0"/>
          <w:sz w:val="32"/>
          <w:szCs w:val="32"/>
        </w:rPr>
        <w:t>参加投标的单位必须提供有效的分支机构金融业务许可证，具有在对应标段公司当地从事相关金融服务的资质。投标单位获中国人民银行杭州中心支行最近年度综合评价</w:t>
      </w:r>
      <w:r>
        <w:rPr>
          <w:rFonts w:ascii="仿宋_GB2312" w:hAnsi="宋体" w:eastAsia="仿宋_GB2312" w:cs="Arial"/>
          <w:kern w:val="0"/>
          <w:sz w:val="32"/>
          <w:szCs w:val="32"/>
        </w:rPr>
        <w:t>B</w:t>
      </w:r>
      <w:r>
        <w:rPr>
          <w:rFonts w:hint="eastAsia" w:ascii="仿宋_GB2312" w:hAnsi="宋体" w:eastAsia="仿宋_GB2312" w:cs="Arial"/>
          <w:kern w:val="0"/>
          <w:sz w:val="32"/>
          <w:szCs w:val="32"/>
        </w:rPr>
        <w:t>级及以上（其中：城市商业银行要求最近年度综合评价A级</w:t>
      </w:r>
      <w:r>
        <w:rPr>
          <w:rFonts w:ascii="仿宋_GB2312" w:hAnsi="宋体" w:eastAsia="仿宋_GB2312" w:cs="Arial"/>
          <w:kern w:val="0"/>
          <w:sz w:val="32"/>
          <w:szCs w:val="32"/>
        </w:rPr>
        <w:t>）</w:t>
      </w:r>
      <w:r>
        <w:rPr>
          <w:rFonts w:hint="eastAsia" w:ascii="仿宋_GB2312" w:hAnsi="宋体" w:eastAsia="仿宋_GB2312" w:cs="Arial"/>
          <w:kern w:val="0"/>
          <w:sz w:val="32"/>
          <w:szCs w:val="32"/>
        </w:rPr>
        <w:t>，浙江银监局最近年度监管评级</w:t>
      </w:r>
      <w:r>
        <w:rPr>
          <w:rFonts w:ascii="仿宋_GB2312" w:hAnsi="宋体" w:eastAsia="仿宋_GB2312" w:cs="Arial"/>
          <w:kern w:val="0"/>
          <w:sz w:val="32"/>
          <w:szCs w:val="32"/>
        </w:rPr>
        <w:t>2</w:t>
      </w:r>
      <w:r>
        <w:rPr>
          <w:rFonts w:hint="eastAsia" w:ascii="仿宋_GB2312" w:hAnsi="宋体" w:eastAsia="仿宋_GB2312" w:cs="Arial"/>
          <w:kern w:val="0"/>
          <w:sz w:val="32"/>
          <w:szCs w:val="32"/>
        </w:rPr>
        <w:t>级及以上。</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1.2</w:t>
      </w:r>
      <w:r>
        <w:rPr>
          <w:rFonts w:hint="eastAsia" w:ascii="仿宋_GB2312" w:hAnsi="Times New Roman" w:eastAsia="仿宋_GB2312"/>
          <w:sz w:val="32"/>
          <w:szCs w:val="32"/>
        </w:rPr>
        <w:t>应具有足够的资源和能力来有效地履行合同。</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1.3</w:t>
      </w:r>
      <w:r>
        <w:rPr>
          <w:rFonts w:hint="eastAsia" w:ascii="仿宋_GB2312" w:hAnsi="Times New Roman" w:eastAsia="仿宋_GB2312"/>
          <w:sz w:val="32"/>
          <w:szCs w:val="32"/>
        </w:rPr>
        <w:t>投标人应认真、如实地填写投标书的有关内容（特别是存款历史合作记录），如弄虚作假或虚报有关数据，一经发现查实，取消其中标资格。</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1.4投标单位应为市分行或以上金融机构（原则上，同一银行只能有一个应标机构，若出现两个及以上分支机构应标，则均作为废标处理），投标时须同时提供具体服务所投标段公司的分支机构营业执照及金融业务许可证。</w:t>
      </w:r>
    </w:p>
    <w:p>
      <w:pPr>
        <w:spacing w:line="560" w:lineRule="exact"/>
        <w:ind w:firstLine="630" w:firstLineChars="196"/>
        <w:rPr>
          <w:rFonts w:ascii="仿宋_GB2312" w:hAnsi="Times New Roman" w:eastAsia="仿宋_GB2312"/>
          <w:b/>
          <w:bCs/>
          <w:sz w:val="32"/>
          <w:szCs w:val="32"/>
        </w:rPr>
      </w:pPr>
      <w:r>
        <w:rPr>
          <w:rFonts w:ascii="仿宋_GB2312" w:hAnsi="Times New Roman" w:eastAsia="仿宋_GB2312"/>
          <w:b/>
          <w:bCs/>
          <w:sz w:val="32"/>
          <w:szCs w:val="32"/>
        </w:rPr>
        <w:t>2</w:t>
      </w:r>
      <w:r>
        <w:rPr>
          <w:rFonts w:hint="eastAsia" w:ascii="仿宋_GB2312" w:hAnsi="Times New Roman" w:eastAsia="仿宋_GB2312"/>
          <w:b/>
          <w:bCs/>
          <w:sz w:val="32"/>
          <w:szCs w:val="32"/>
        </w:rPr>
        <w:t>．投标文件内容</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2.1</w:t>
      </w:r>
      <w:r>
        <w:rPr>
          <w:rFonts w:hint="eastAsia" w:ascii="仿宋_GB2312" w:hAnsi="Times New Roman" w:eastAsia="仿宋_GB2312"/>
          <w:sz w:val="32"/>
          <w:szCs w:val="32"/>
        </w:rPr>
        <w:t>投标文件由投标书部分、商务部分和技术部分三部分组成。</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2.2</w:t>
      </w:r>
      <w:r>
        <w:rPr>
          <w:rFonts w:hint="eastAsia" w:ascii="仿宋_GB2312" w:hAnsi="Times New Roman" w:eastAsia="仿宋_GB2312"/>
          <w:sz w:val="32"/>
          <w:szCs w:val="32"/>
        </w:rPr>
        <w:t>投标书部分主要包括下列内容：</w:t>
      </w:r>
    </w:p>
    <w:p>
      <w:pPr>
        <w:autoSpaceDE w:val="0"/>
        <w:autoSpaceDN w:val="0"/>
        <w:adjustRightInd w:val="0"/>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1</w:t>
      </w:r>
      <w:r>
        <w:rPr>
          <w:rFonts w:hint="eastAsia" w:ascii="仿宋_GB2312" w:hAnsi="Times New Roman" w:eastAsia="仿宋_GB2312"/>
          <w:sz w:val="32"/>
          <w:szCs w:val="32"/>
        </w:rPr>
        <w:t>）投标书。包括投标说明：投标人的概况，具体服务分支机构的概况，过往的银企合作历史及市场认可度，投标书的编制说明。</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2</w:t>
      </w:r>
      <w:r>
        <w:rPr>
          <w:rFonts w:hint="eastAsia" w:ascii="仿宋_GB2312" w:hAnsi="Times New Roman" w:eastAsia="仿宋_GB2312"/>
          <w:sz w:val="32"/>
          <w:szCs w:val="32"/>
        </w:rPr>
        <w:t>）法定代表人身份证明书。</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3</w:t>
      </w:r>
      <w:r>
        <w:rPr>
          <w:rFonts w:hint="eastAsia" w:ascii="仿宋_GB2312" w:hAnsi="Times New Roman" w:eastAsia="仿宋_GB2312"/>
          <w:sz w:val="32"/>
          <w:szCs w:val="32"/>
        </w:rPr>
        <w:t>）投标文件签署授权委托书。</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4</w:t>
      </w:r>
      <w:r>
        <w:rPr>
          <w:rFonts w:hint="eastAsia" w:ascii="仿宋_GB2312" w:hAnsi="Times New Roman" w:eastAsia="仿宋_GB2312"/>
          <w:sz w:val="32"/>
          <w:szCs w:val="32"/>
        </w:rPr>
        <w:t>）资格证明文件（企业营业执照、资质证书等复印件，需加盖公章）,如证明文件复印件模糊影响辨认的,须提供原件现场备查。</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（5）法定代表人及被授权人身份证复印件。</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（6）其他资信证明材料。</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2.3</w:t>
      </w:r>
      <w:r>
        <w:rPr>
          <w:rFonts w:hint="eastAsia" w:ascii="仿宋_GB2312" w:hAnsi="Times New Roman" w:eastAsia="仿宋_GB2312"/>
          <w:sz w:val="32"/>
          <w:szCs w:val="32"/>
        </w:rPr>
        <w:t>商务部分主要包括下列内容：</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存款利率报价，利率调整说明。</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2.4</w:t>
      </w:r>
      <w:r>
        <w:rPr>
          <w:rFonts w:hint="eastAsia" w:ascii="仿宋_GB2312" w:hAnsi="Times New Roman" w:eastAsia="仿宋_GB2312"/>
          <w:sz w:val="32"/>
          <w:szCs w:val="32"/>
        </w:rPr>
        <w:t>技术部分主要包括下列内容：</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1</w:t>
      </w:r>
      <w:r>
        <w:rPr>
          <w:rFonts w:hint="eastAsia" w:ascii="仿宋_GB2312" w:hAnsi="Times New Roman" w:eastAsia="仿宋_GB2312"/>
          <w:sz w:val="32"/>
          <w:szCs w:val="32"/>
        </w:rPr>
        <w:t>）投标单位资质、信用评级。</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rPr>
        <w:t>2</w:t>
      </w:r>
      <w:r>
        <w:rPr>
          <w:rFonts w:hint="eastAsia" w:ascii="仿宋_GB2312" w:hAnsi="Times New Roman" w:eastAsia="仿宋_GB2312"/>
          <w:sz w:val="32"/>
          <w:szCs w:val="32"/>
        </w:rPr>
        <w:t>）可提供的配套金融服务。</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（3）与省机场集团及下属公司过往合作主要业绩，需提供相关证明文件。</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2.5</w:t>
      </w:r>
      <w:r>
        <w:rPr>
          <w:rFonts w:hint="eastAsia" w:ascii="仿宋_GB2312" w:hAnsi="Times New Roman" w:eastAsia="仿宋_GB2312"/>
          <w:sz w:val="32"/>
          <w:szCs w:val="32"/>
        </w:rPr>
        <w:t>其他资料。</w:t>
      </w:r>
    </w:p>
    <w:p>
      <w:pPr>
        <w:spacing w:line="560" w:lineRule="exact"/>
        <w:ind w:firstLine="630" w:firstLineChars="196"/>
        <w:rPr>
          <w:rFonts w:ascii="仿宋_GB2312" w:hAnsi="Times New Roman" w:eastAsia="仿宋_GB2312"/>
          <w:b/>
          <w:bCs/>
          <w:sz w:val="32"/>
          <w:szCs w:val="32"/>
        </w:rPr>
      </w:pPr>
      <w:r>
        <w:rPr>
          <w:rFonts w:ascii="仿宋_GB2312" w:hAnsi="Times New Roman" w:eastAsia="仿宋_GB2312"/>
          <w:b/>
          <w:bCs/>
          <w:sz w:val="32"/>
          <w:szCs w:val="32"/>
        </w:rPr>
        <w:t>3</w:t>
      </w:r>
      <w:r>
        <w:rPr>
          <w:rFonts w:hint="eastAsia" w:ascii="仿宋_GB2312" w:hAnsi="Times New Roman" w:eastAsia="仿宋_GB2312"/>
          <w:b/>
          <w:bCs/>
          <w:sz w:val="32"/>
          <w:szCs w:val="32"/>
        </w:rPr>
        <w:t>．投标报价</w:t>
      </w:r>
    </w:p>
    <w:p>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3.1</w:t>
      </w:r>
      <w:r>
        <w:rPr>
          <w:rFonts w:hint="eastAsia" w:ascii="仿宋_GB2312" w:hAnsi="Times New Roman" w:eastAsia="仿宋_GB2312"/>
          <w:sz w:val="32"/>
          <w:szCs w:val="32"/>
        </w:rPr>
        <w:t>参照中国人民银行公布的基准利率和利率浮动调整政策、规定，自行考虑优惠幅度进行报价，并承担相应的风险责任。</w:t>
      </w:r>
    </w:p>
    <w:p>
      <w:pPr>
        <w:spacing w:line="560" w:lineRule="exact"/>
        <w:ind w:firstLine="627" w:firstLineChars="196"/>
        <w:rPr>
          <w:rFonts w:ascii="仿宋_GB2312" w:hAnsi="Times New Roman" w:eastAsia="仿宋_GB2312"/>
          <w:sz w:val="32"/>
          <w:szCs w:val="32"/>
        </w:rPr>
      </w:pPr>
      <w:r>
        <w:rPr>
          <w:rFonts w:ascii="仿宋_GB2312" w:hAnsi="Times New Roman" w:eastAsia="仿宋_GB2312"/>
          <w:sz w:val="32"/>
          <w:szCs w:val="32"/>
        </w:rPr>
        <w:t>3.2</w:t>
      </w:r>
      <w:r>
        <w:rPr>
          <w:rFonts w:hint="eastAsia" w:ascii="仿宋_GB2312" w:hAnsi="Times New Roman" w:eastAsia="仿宋_GB2312"/>
          <w:sz w:val="32"/>
          <w:szCs w:val="32"/>
        </w:rPr>
        <w:t>根据投标响应内容和要求，对活期存款、协定存款、大额存单、定期存款利率进行报价。</w:t>
      </w:r>
    </w:p>
    <w:p>
      <w:pPr>
        <w:spacing w:line="560" w:lineRule="exact"/>
        <w:ind w:firstLine="629"/>
        <w:rPr>
          <w:rFonts w:ascii="仿宋_GB2312" w:hAnsi="Times New Roman" w:eastAsia="仿宋_GB2312"/>
          <w:sz w:val="32"/>
          <w:szCs w:val="32"/>
        </w:rPr>
      </w:pPr>
      <w:r>
        <w:rPr>
          <w:rFonts w:hint="eastAsia" w:ascii="仿宋_GB2312" w:hAnsi="Times New Roman" w:eastAsia="仿宋_GB2312"/>
          <w:sz w:val="32"/>
          <w:szCs w:val="32"/>
        </w:rPr>
        <w:t>3.3各投标人应根据招标文件要求，编制投标文件，正本一份、副本四份，密封递交。</w:t>
      </w:r>
    </w:p>
    <w:p>
      <w:pPr>
        <w:spacing w:line="560" w:lineRule="exact"/>
        <w:ind w:firstLine="627" w:firstLineChars="196"/>
        <w:rPr>
          <w:rFonts w:ascii="仿宋_GB2312" w:hAnsi="Times New Roman" w:eastAsia="仿宋_GB2312"/>
          <w:sz w:val="32"/>
          <w:szCs w:val="32"/>
        </w:rPr>
      </w:pPr>
      <w:r>
        <w:rPr>
          <w:rFonts w:hint="eastAsia" w:ascii="仿宋_GB2312" w:hAnsi="Times New Roman" w:eastAsia="仿宋_GB2312"/>
          <w:sz w:val="32"/>
          <w:szCs w:val="32"/>
        </w:rPr>
        <w:t>3.4投标有效期为90日历天。</w:t>
      </w:r>
    </w:p>
    <w:p>
      <w:pPr>
        <w:spacing w:line="560" w:lineRule="exact"/>
        <w:ind w:firstLine="630" w:firstLineChars="196"/>
        <w:rPr>
          <w:rFonts w:ascii="仿宋_GB2312" w:hAnsi="Times New Roman" w:eastAsia="仿宋_GB2312"/>
          <w:b/>
          <w:bCs/>
          <w:sz w:val="32"/>
          <w:szCs w:val="32"/>
        </w:rPr>
      </w:pPr>
      <w:r>
        <w:rPr>
          <w:rFonts w:ascii="仿宋_GB2312" w:hAnsi="Times New Roman" w:eastAsia="仿宋_GB2312"/>
          <w:b/>
          <w:bCs/>
          <w:sz w:val="32"/>
          <w:szCs w:val="32"/>
        </w:rPr>
        <w:t>4</w:t>
      </w:r>
      <w:r>
        <w:rPr>
          <w:rFonts w:hint="eastAsia" w:ascii="仿宋_GB2312" w:hAnsi="Times New Roman" w:eastAsia="仿宋_GB2312"/>
          <w:b/>
          <w:bCs/>
          <w:sz w:val="32"/>
          <w:szCs w:val="32"/>
        </w:rPr>
        <w:t>．违约责任</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在人民银行利率政策未发生重大变化的情况下，如中标人未能兑现投标文件及最终签署的合同中的陈述、承诺及义务的，招标人有权立即终止合同，并有权就实际的利息收支与中标人承诺的利息收支差额向中标人索赔。</w:t>
      </w:r>
    </w:p>
    <w:p>
      <w:pPr>
        <w:spacing w:line="560" w:lineRule="exact"/>
        <w:ind w:left="639" w:leftChars="304" w:hanging="1"/>
        <w:rPr>
          <w:rFonts w:ascii="仿宋_GB2312" w:hAnsi="Times New Roman" w:eastAsia="仿宋_GB2312"/>
          <w:b/>
          <w:bCs/>
          <w:sz w:val="32"/>
          <w:szCs w:val="32"/>
        </w:rPr>
      </w:pPr>
      <w:r>
        <w:rPr>
          <w:rFonts w:ascii="仿宋_GB2312" w:hAnsi="Times New Roman" w:eastAsia="仿宋_GB2312"/>
          <w:b/>
          <w:bCs/>
          <w:sz w:val="32"/>
          <w:szCs w:val="32"/>
        </w:rPr>
        <w:t>5</w:t>
      </w:r>
      <w:r>
        <w:rPr>
          <w:rFonts w:hint="eastAsia" w:ascii="仿宋_GB2312" w:hAnsi="Times New Roman" w:eastAsia="仿宋_GB2312"/>
          <w:b/>
          <w:bCs/>
          <w:sz w:val="32"/>
          <w:szCs w:val="32"/>
        </w:rPr>
        <w:t>．决标</w:t>
      </w:r>
    </w:p>
    <w:p>
      <w:pPr>
        <w:spacing w:line="560" w:lineRule="exact"/>
        <w:ind w:firstLine="640" w:firstLineChars="200"/>
        <w:rPr>
          <w:rFonts w:ascii="仿宋_GB2312" w:hAnsi="仿宋_GB2312" w:eastAsia="仿宋_GB2312" w:cs="宋体"/>
          <w:sz w:val="32"/>
          <w:szCs w:val="32"/>
        </w:rPr>
      </w:pPr>
      <w:r>
        <w:rPr>
          <w:rFonts w:ascii="仿宋_GB2312" w:hAnsi="仿宋_GB2312" w:eastAsia="仿宋_GB2312" w:cs="宋体"/>
          <w:sz w:val="32"/>
          <w:szCs w:val="32"/>
        </w:rPr>
        <w:t>5.1</w:t>
      </w:r>
      <w:r>
        <w:rPr>
          <w:rFonts w:hint="eastAsia" w:ascii="仿宋_GB2312" w:hAnsi="仿宋_GB2312" w:eastAsia="仿宋_GB2312" w:cs="宋体"/>
          <w:sz w:val="32"/>
          <w:szCs w:val="32"/>
        </w:rPr>
        <w:t>本次评标由招标人自行组织相关人员参加，对投标人资信、服务及报价综合评审、集体评定，按排名顺序选择</w:t>
      </w:r>
      <w:r>
        <w:rPr>
          <w:rFonts w:ascii="仿宋_GB2312" w:hAnsi="仿宋_GB2312" w:eastAsia="仿宋_GB2312" w:cs="宋体"/>
          <w:sz w:val="32"/>
          <w:szCs w:val="32"/>
        </w:rPr>
        <w:t>2</w:t>
      </w:r>
      <w:r>
        <w:rPr>
          <w:rFonts w:hint="eastAsia" w:ascii="仿宋_GB2312" w:hAnsi="仿宋_GB2312" w:eastAsia="仿宋_GB2312" w:cs="宋体"/>
          <w:sz w:val="32"/>
          <w:szCs w:val="32"/>
        </w:rPr>
        <w:t>家入围单位，由招标人招标领导小组决标。</w:t>
      </w:r>
    </w:p>
    <w:p>
      <w:pPr>
        <w:spacing w:line="560" w:lineRule="exact"/>
        <w:ind w:firstLine="640" w:firstLineChars="200"/>
        <w:rPr>
          <w:rFonts w:ascii="仿宋_GB2312" w:hAnsi="仿宋_GB2312" w:eastAsia="仿宋_GB2312" w:cs="宋体"/>
          <w:sz w:val="32"/>
          <w:szCs w:val="32"/>
        </w:rPr>
      </w:pPr>
      <w:r>
        <w:rPr>
          <w:rFonts w:hint="eastAsia" w:ascii="仿宋_GB2312" w:hAnsi="仿宋_GB2312" w:eastAsia="仿宋_GB2312" w:cs="宋体"/>
          <w:sz w:val="32"/>
          <w:szCs w:val="32"/>
        </w:rPr>
        <w:t>5.2招标人对本次招标结果不负责解释。</w:t>
      </w:r>
    </w:p>
    <w:p>
      <w:pPr>
        <w:widowControl/>
        <w:spacing w:line="560" w:lineRule="exact"/>
        <w:jc w:val="left"/>
        <w:rPr>
          <w:rFonts w:ascii="仿宋_GB2312" w:hAnsi="仿宋_GB2312" w:eastAsia="仿宋_GB2312" w:cs="宋体"/>
          <w:sz w:val="32"/>
          <w:szCs w:val="32"/>
        </w:rPr>
      </w:pPr>
      <w:r>
        <w:rPr>
          <w:rFonts w:ascii="仿宋_GB2312" w:hAnsi="仿宋_GB2312" w:eastAsia="仿宋_GB2312" w:cs="宋体"/>
          <w:sz w:val="32"/>
          <w:szCs w:val="32"/>
        </w:rPr>
        <w:br w:type="page"/>
      </w:r>
    </w:p>
    <w:p>
      <w:pPr>
        <w:spacing w:line="560" w:lineRule="exact"/>
        <w:jc w:val="center"/>
        <w:rPr>
          <w:rFonts w:ascii="黑体" w:hAnsi="Times New Roman" w:eastAsia="黑体"/>
          <w:b/>
          <w:bCs/>
          <w:sz w:val="32"/>
          <w:szCs w:val="32"/>
        </w:rPr>
      </w:pPr>
      <w:r>
        <w:rPr>
          <w:rFonts w:hint="eastAsia" w:ascii="黑体" w:hAnsi="Times New Roman" w:eastAsia="黑体"/>
          <w:b/>
          <w:bCs/>
          <w:sz w:val="32"/>
          <w:szCs w:val="32"/>
        </w:rPr>
        <w:t>三、评标办法</w:t>
      </w:r>
    </w:p>
    <w:p>
      <w:pPr>
        <w:spacing w:line="560" w:lineRule="exact"/>
        <w:ind w:firstLine="643" w:firstLineChars="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1.评标原则</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评标遵循“公平、公正、科学、择优”的原则。本次采用招标人自行组织，相关部门参加，通过综合评审择优选用。</w:t>
      </w:r>
    </w:p>
    <w:p>
      <w:pPr>
        <w:spacing w:line="560" w:lineRule="exact"/>
        <w:ind w:firstLine="643" w:firstLineChars="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2.评标内容</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本次评标办法采用综合评估法。评分方式为集体综合评议，独立打分。</w:t>
      </w:r>
    </w:p>
    <w:p>
      <w:pPr>
        <w:spacing w:line="560" w:lineRule="exact"/>
        <w:ind w:firstLine="643" w:firstLineChars="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3.投标文件的符合性审查</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依照招标文件的要求和规定，首先对投标人的投标资格和投标文件进行符合性审查。</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3.1投标人在提交投标文件后不得通过补充、修改或撤消投标文件中的内容使其成为实质性响应的投标。投标人在投标截止以后不得提交任何资料作为评标依据。</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3.2投标文件如存在以下情况之一的，经评标小组审核认定，作为符合性审查未通过予以废除，不再进行技术和商务的评审：</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1</w:t>
      </w:r>
      <w:r>
        <w:rPr>
          <w:rFonts w:hint="eastAsia" w:ascii="仿宋_GB2312" w:hAnsi="宋体" w:eastAsia="仿宋_GB2312" w:cs="宋体"/>
          <w:bCs/>
          <w:color w:val="000000"/>
          <w:kern w:val="0"/>
          <w:sz w:val="32"/>
          <w:szCs w:val="32"/>
        </w:rPr>
        <w:t>）投标人的投标资格不满足国家有关规定或招标文件载明的投标资格条件的；</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2</w:t>
      </w:r>
      <w:r>
        <w:rPr>
          <w:rFonts w:hint="eastAsia" w:ascii="仿宋_GB2312" w:hAnsi="宋体" w:eastAsia="仿宋_GB2312" w:cs="宋体"/>
          <w:bCs/>
          <w:color w:val="000000"/>
          <w:kern w:val="0"/>
          <w:sz w:val="32"/>
          <w:szCs w:val="32"/>
        </w:rPr>
        <w:t>）未按招标文件的要求签署和盖章的（仅限于单位印章和法定代表人或其委托代理人签字或盖章）；</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3</w:t>
      </w:r>
      <w:r>
        <w:rPr>
          <w:rFonts w:hint="eastAsia" w:ascii="仿宋_GB2312" w:hAnsi="宋体" w:eastAsia="仿宋_GB2312" w:cs="宋体"/>
          <w:bCs/>
          <w:color w:val="000000"/>
          <w:kern w:val="0"/>
          <w:sz w:val="32"/>
          <w:szCs w:val="32"/>
        </w:rPr>
        <w:t>）不响应招标文件规定的实质性要求的（特别是不按期限规定响应历史合作记录的）；</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4</w:t>
      </w:r>
      <w:r>
        <w:rPr>
          <w:rFonts w:hint="eastAsia" w:ascii="仿宋_GB2312" w:hAnsi="宋体" w:eastAsia="仿宋_GB2312" w:cs="宋体"/>
          <w:bCs/>
          <w:color w:val="000000"/>
          <w:kern w:val="0"/>
          <w:sz w:val="32"/>
          <w:szCs w:val="32"/>
        </w:rPr>
        <w:t>）所投标内容不完整的；</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w:t>
      </w:r>
      <w:r>
        <w:rPr>
          <w:rFonts w:ascii="仿宋_GB2312" w:hAnsi="宋体" w:eastAsia="仿宋_GB2312" w:cs="宋体"/>
          <w:bCs/>
          <w:color w:val="000000"/>
          <w:kern w:val="0"/>
          <w:sz w:val="32"/>
          <w:szCs w:val="32"/>
        </w:rPr>
        <w:t>5</w:t>
      </w:r>
      <w:r>
        <w:rPr>
          <w:rFonts w:hint="eastAsia" w:ascii="仿宋_GB2312" w:hAnsi="宋体" w:eastAsia="仿宋_GB2312" w:cs="宋体"/>
          <w:bCs/>
          <w:color w:val="000000"/>
          <w:kern w:val="0"/>
          <w:sz w:val="32"/>
          <w:szCs w:val="32"/>
        </w:rPr>
        <w:t>）存在法律、法规、规章规定的其它无效投标情况的。</w:t>
      </w:r>
    </w:p>
    <w:p>
      <w:pPr>
        <w:spacing w:line="560" w:lineRule="exact"/>
        <w:ind w:firstLine="643" w:firstLineChars="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4.评分原则</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评标总分为100分，其中商务报价占权重的70%，技术评审占权重的30%，分值保留到小数点后两位，第三位小数四舍五入。</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商务报价得分为存款利率报价。</w:t>
      </w:r>
    </w:p>
    <w:p>
      <w:pPr>
        <w:spacing w:line="56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技术评审得分由机构资质、评级和历史合作记录及服务承诺得分组成。</w:t>
      </w:r>
    </w:p>
    <w:p>
      <w:pPr>
        <w:rPr>
          <w:rFonts w:ascii="Times New Roman" w:hAnsi="Times New Roman"/>
          <w:szCs w:val="24"/>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黑体" w:hAnsi="Times New Roman" w:eastAsia="黑体"/>
          <w:b/>
          <w:bCs/>
          <w:sz w:val="28"/>
          <w:szCs w:val="32"/>
        </w:rPr>
      </w:pPr>
      <w:r>
        <w:rPr>
          <w:rFonts w:hint="eastAsia" w:ascii="黑体" w:hAnsi="Times New Roman" w:eastAsia="黑体"/>
          <w:b/>
          <w:bCs/>
          <w:sz w:val="28"/>
          <w:szCs w:val="32"/>
        </w:rPr>
        <w:t>四、评分细则</w:t>
      </w:r>
    </w:p>
    <w:p>
      <w:pPr>
        <w:spacing w:line="600" w:lineRule="exact"/>
        <w:ind w:firstLine="640" w:firstLineChars="200"/>
        <w:rPr>
          <w:rFonts w:ascii="仿宋_GB2312" w:hAnsi="Times New Roman" w:eastAsia="仿宋_GB2312"/>
          <w:b/>
          <w:bCs/>
          <w:sz w:val="32"/>
          <w:szCs w:val="32"/>
        </w:rPr>
      </w:pPr>
      <w:r>
        <w:rPr>
          <w:rFonts w:hint="eastAsia" w:ascii="仿宋_GB2312" w:hAnsi="宋体" w:eastAsia="仿宋_GB2312" w:cs="宋体"/>
          <w:bCs/>
          <w:color w:val="000000"/>
          <w:kern w:val="0"/>
          <w:sz w:val="32"/>
          <w:szCs w:val="32"/>
        </w:rPr>
        <w:t>1.商务报价评分原则：存款利率报价评分（0-70分）</w:t>
      </w:r>
    </w:p>
    <w:tbl>
      <w:tblPr>
        <w:tblStyle w:val="11"/>
        <w:tblW w:w="8472" w:type="dxa"/>
        <w:tblInd w:w="0" w:type="dxa"/>
        <w:tblLayout w:type="fixed"/>
        <w:tblCellMar>
          <w:top w:w="0" w:type="dxa"/>
          <w:left w:w="108" w:type="dxa"/>
          <w:bottom w:w="0" w:type="dxa"/>
          <w:right w:w="108" w:type="dxa"/>
        </w:tblCellMar>
      </w:tblPr>
      <w:tblGrid>
        <w:gridCol w:w="8472"/>
      </w:tblGrid>
      <w:tr>
        <w:tblPrEx>
          <w:tblLayout w:type="fixed"/>
          <w:tblCellMar>
            <w:top w:w="0" w:type="dxa"/>
            <w:left w:w="108" w:type="dxa"/>
            <w:bottom w:w="0" w:type="dxa"/>
            <w:right w:w="108" w:type="dxa"/>
          </w:tblCellMar>
        </w:tblPrEx>
        <w:trPr>
          <w:trHeight w:val="405" w:hRule="atLeast"/>
        </w:trPr>
        <w:tc>
          <w:tcPr>
            <w:tcW w:w="8472" w:type="dxa"/>
            <w:tcBorders>
              <w:top w:val="nil"/>
              <w:left w:val="nil"/>
              <w:bottom w:val="nil"/>
              <w:right w:val="nil"/>
            </w:tcBorders>
            <w:vAlign w:val="center"/>
          </w:tcPr>
          <w:p>
            <w:pPr>
              <w:widowControl/>
              <w:spacing w:line="600" w:lineRule="exact"/>
              <w:jc w:val="left"/>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 xml:space="preserve">    1.1 存款利率报价以人行最近一期公布的基准利率为基础，如存款利率报价有一项在基准利率以下的，则该投标人该项得分为0分；</w:t>
            </w:r>
          </w:p>
          <w:p>
            <w:pPr>
              <w:widowControl/>
              <w:spacing w:line="600" w:lineRule="exact"/>
              <w:jc w:val="left"/>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 xml:space="preserve">    1.2 活期存款利率满分12分，每上浮1%，得0.25分；</w:t>
            </w:r>
          </w:p>
          <w:p>
            <w:pPr>
              <w:widowControl/>
              <w:spacing w:line="600" w:lineRule="exact"/>
              <w:ind w:firstLine="630"/>
              <w:jc w:val="left"/>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1.3 协定存款利率满分12分，每上浮1%，得0.25分；</w:t>
            </w:r>
          </w:p>
          <w:p>
            <w:pPr>
              <w:widowControl/>
              <w:spacing w:line="600" w:lineRule="exact"/>
              <w:ind w:firstLine="630"/>
              <w:jc w:val="left"/>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1.4 协定存款所对应结算账户的基本额度为0元得1分，</w:t>
            </w:r>
            <w:r>
              <w:rPr>
                <w:rFonts w:hint="eastAsia" w:ascii="仿宋_GB2312" w:hAnsi="仿宋_GB2312" w:eastAsia="仿宋_GB2312" w:cs="仿宋_GB2312"/>
                <w:bCs/>
                <w:color w:val="000000"/>
                <w:kern w:val="0"/>
                <w:sz w:val="32"/>
                <w:szCs w:val="32"/>
              </w:rPr>
              <w:t>0-50（含）万元，得0.5分，大于50万元，不得分</w:t>
            </w:r>
            <w:r>
              <w:rPr>
                <w:rFonts w:hint="eastAsia" w:ascii="仿宋_GB2312" w:hAnsi="宋体" w:eastAsia="仿宋_GB2312" w:cs="宋体"/>
                <w:bCs/>
                <w:color w:val="000000"/>
                <w:kern w:val="0"/>
                <w:sz w:val="32"/>
                <w:szCs w:val="32"/>
              </w:rPr>
              <w:t>；</w:t>
            </w:r>
          </w:p>
          <w:p>
            <w:pPr>
              <w:widowControl/>
              <w:spacing w:line="600" w:lineRule="exact"/>
              <w:jc w:val="left"/>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 xml:space="preserve">    1.5 大额存单利率满分18分，每上浮1%，得0.3分；</w:t>
            </w:r>
          </w:p>
          <w:p>
            <w:pPr>
              <w:widowControl/>
              <w:spacing w:line="600" w:lineRule="exact"/>
              <w:jc w:val="left"/>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 xml:space="preserve">    1.6 定期存款利率满分18分，每上浮1%，得0.375分；</w:t>
            </w:r>
          </w:p>
          <w:p>
            <w:pPr>
              <w:widowControl/>
              <w:spacing w:line="600" w:lineRule="exact"/>
              <w:jc w:val="left"/>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 xml:space="preserve">    1.7 能提供分档计息存款的，得</w:t>
            </w:r>
            <w:r>
              <w:rPr>
                <w:rFonts w:hint="eastAsia" w:ascii="仿宋_GB2312" w:hAnsi="宋体" w:eastAsia="仿宋_GB2312" w:cs="宋体"/>
                <w:bCs/>
                <w:color w:val="000000" w:themeColor="text1"/>
                <w:kern w:val="0"/>
                <w:sz w:val="32"/>
                <w:szCs w:val="32"/>
                <w14:textFill>
                  <w14:solidFill>
                    <w14:schemeClr w14:val="tx1"/>
                  </w14:solidFill>
                </w14:textFill>
              </w:rPr>
              <w:t>5</w:t>
            </w:r>
            <w:r>
              <w:rPr>
                <w:rFonts w:hint="eastAsia" w:ascii="仿宋_GB2312" w:hAnsi="宋体" w:eastAsia="仿宋_GB2312" w:cs="宋体"/>
                <w:bCs/>
                <w:color w:val="000000"/>
                <w:kern w:val="0"/>
                <w:sz w:val="32"/>
                <w:szCs w:val="32"/>
              </w:rPr>
              <w:t>分；</w:t>
            </w:r>
          </w:p>
          <w:p>
            <w:pPr>
              <w:widowControl/>
              <w:spacing w:line="600" w:lineRule="exact"/>
              <w:jc w:val="left"/>
              <w:rPr>
                <w:rFonts w:ascii="仿宋_GB2312" w:hAnsi="宋体" w:eastAsia="仿宋_GB2312" w:cs="宋体"/>
                <w:color w:val="000000"/>
                <w:kern w:val="0"/>
                <w:sz w:val="32"/>
                <w:szCs w:val="32"/>
              </w:rPr>
            </w:pPr>
            <w:r>
              <w:rPr>
                <w:rFonts w:hint="eastAsia" w:ascii="仿宋_GB2312" w:hAnsi="宋体" w:eastAsia="仿宋_GB2312" w:cs="宋体"/>
                <w:bCs/>
                <w:color w:val="000000"/>
                <w:kern w:val="0"/>
                <w:sz w:val="32"/>
                <w:szCs w:val="32"/>
              </w:rPr>
              <w:t xml:space="preserve">    1.8 承诺按照最新公布的行业政策，及时上调上述存款利率的，得2分；如承诺遇政策下调时不调整的，可再加</w:t>
            </w:r>
            <w:r>
              <w:rPr>
                <w:rFonts w:hint="eastAsia" w:ascii="仿宋_GB2312" w:hAnsi="宋体" w:eastAsia="仿宋_GB2312" w:cs="宋体"/>
                <w:bCs/>
                <w:color w:val="000000" w:themeColor="text1"/>
                <w:kern w:val="0"/>
                <w:sz w:val="32"/>
                <w:szCs w:val="32"/>
                <w14:textFill>
                  <w14:solidFill>
                    <w14:schemeClr w14:val="tx1"/>
                  </w14:solidFill>
                </w14:textFill>
              </w:rPr>
              <w:t>2</w:t>
            </w:r>
            <w:r>
              <w:rPr>
                <w:rFonts w:hint="eastAsia" w:ascii="仿宋_GB2312" w:hAnsi="宋体" w:eastAsia="仿宋_GB2312" w:cs="宋体"/>
                <w:bCs/>
                <w:color w:val="000000"/>
                <w:kern w:val="0"/>
                <w:sz w:val="32"/>
                <w:szCs w:val="32"/>
              </w:rPr>
              <w:t>分。</w:t>
            </w:r>
          </w:p>
        </w:tc>
      </w:tr>
    </w:tbl>
    <w:p>
      <w:pPr>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br w:type="page"/>
      </w:r>
    </w:p>
    <w:p>
      <w:pPr>
        <w:spacing w:line="600" w:lineRule="exact"/>
        <w:rPr>
          <w:rFonts w:ascii="方正小标宋简体" w:hAnsi="Arial" w:eastAsia="方正小标宋简体"/>
          <w:b/>
          <w:kern w:val="0"/>
          <w:sz w:val="44"/>
          <w:szCs w:val="20"/>
        </w:rPr>
      </w:pPr>
      <w:r>
        <w:rPr>
          <w:rFonts w:hint="eastAsia" w:ascii="仿宋_GB2312" w:hAnsi="宋体" w:eastAsia="仿宋_GB2312" w:cs="宋体"/>
          <w:bCs/>
          <w:color w:val="000000"/>
          <w:kern w:val="0"/>
          <w:sz w:val="32"/>
          <w:szCs w:val="32"/>
        </w:rPr>
        <w:t xml:space="preserve">    2.技术部分评分原则（满分30分）：</w:t>
      </w:r>
    </w:p>
    <w:tbl>
      <w:tblPr>
        <w:tblStyle w:val="11"/>
        <w:tblW w:w="9498" w:type="dxa"/>
        <w:tblInd w:w="-459" w:type="dxa"/>
        <w:tblLayout w:type="fixed"/>
        <w:tblCellMar>
          <w:top w:w="0" w:type="dxa"/>
          <w:left w:w="108" w:type="dxa"/>
          <w:bottom w:w="0" w:type="dxa"/>
          <w:right w:w="108" w:type="dxa"/>
        </w:tblCellMar>
      </w:tblPr>
      <w:tblGrid>
        <w:gridCol w:w="1560"/>
        <w:gridCol w:w="2126"/>
        <w:gridCol w:w="709"/>
        <w:gridCol w:w="4394"/>
        <w:gridCol w:w="709"/>
      </w:tblGrid>
      <w:tr>
        <w:tblPrEx>
          <w:tblLayout w:type="fixed"/>
          <w:tblCellMar>
            <w:top w:w="0" w:type="dxa"/>
            <w:left w:w="108" w:type="dxa"/>
            <w:bottom w:w="0" w:type="dxa"/>
            <w:right w:w="108" w:type="dxa"/>
          </w:tblCellMar>
        </w:tblPrEx>
        <w:trPr>
          <w:trHeight w:val="285" w:hRule="atLeast"/>
        </w:trPr>
        <w:tc>
          <w:tcPr>
            <w:tcW w:w="156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评审项目</w:t>
            </w:r>
          </w:p>
        </w:tc>
        <w:tc>
          <w:tcPr>
            <w:tcW w:w="2126" w:type="dxa"/>
            <w:tcBorders>
              <w:top w:val="single" w:color="auto" w:sz="8" w:space="0"/>
              <w:left w:val="nil"/>
              <w:bottom w:val="single" w:color="auto" w:sz="8" w:space="0"/>
              <w:right w:val="single" w:color="auto" w:sz="8"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评审因素</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满分分值</w:t>
            </w:r>
          </w:p>
        </w:tc>
        <w:tc>
          <w:tcPr>
            <w:tcW w:w="4394" w:type="dxa"/>
            <w:tcBorders>
              <w:top w:val="single" w:color="auto" w:sz="8" w:space="0"/>
              <w:left w:val="nil"/>
              <w:bottom w:val="single" w:color="auto" w:sz="8" w:space="0"/>
              <w:right w:val="single" w:color="auto" w:sz="8"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评分标准</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备注</w:t>
            </w:r>
          </w:p>
        </w:tc>
      </w:tr>
      <w:tr>
        <w:tblPrEx>
          <w:tblLayout w:type="fixed"/>
          <w:tblCellMar>
            <w:top w:w="0" w:type="dxa"/>
            <w:left w:w="108" w:type="dxa"/>
            <w:bottom w:w="0" w:type="dxa"/>
            <w:right w:w="108" w:type="dxa"/>
          </w:tblCellMar>
        </w:tblPrEx>
        <w:trPr>
          <w:trHeight w:val="525" w:hRule="atLeast"/>
        </w:trPr>
        <w:tc>
          <w:tcPr>
            <w:tcW w:w="15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机构资质、评级（满分</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分）</w:t>
            </w:r>
          </w:p>
        </w:tc>
        <w:tc>
          <w:tcPr>
            <w:tcW w:w="2126" w:type="dxa"/>
            <w:tcBorders>
              <w:top w:val="single" w:color="auto" w:sz="8" w:space="0"/>
              <w:left w:val="nil"/>
              <w:bottom w:val="single" w:color="auto" w:sz="8" w:space="0"/>
              <w:right w:val="single" w:color="auto" w:sz="8" w:space="0"/>
            </w:tcBorders>
            <w:vAlign w:val="center"/>
          </w:tcPr>
          <w:p>
            <w:pPr>
              <w:widowControl/>
              <w:jc w:val="center"/>
              <w:rPr>
                <w:rFonts w:asci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人行综合评价</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cs="Calibri"/>
                <w:color w:val="000000" w:themeColor="text1"/>
                <w:kern w:val="0"/>
                <w:sz w:val="20"/>
                <w:szCs w:val="20"/>
                <w14:textFill>
                  <w14:solidFill>
                    <w14:schemeClr w14:val="tx1"/>
                  </w14:solidFill>
                </w14:textFill>
              </w:rPr>
            </w:pPr>
            <w:r>
              <w:rPr>
                <w:rFonts w:hint="eastAsia" w:cs="Calibri"/>
                <w:color w:val="000000" w:themeColor="text1"/>
                <w:kern w:val="0"/>
                <w:sz w:val="20"/>
                <w:szCs w:val="20"/>
                <w14:textFill>
                  <w14:solidFill>
                    <w14:schemeClr w14:val="tx1"/>
                  </w14:solidFill>
                </w14:textFill>
              </w:rPr>
              <w:t>1</w:t>
            </w:r>
          </w:p>
        </w:tc>
        <w:tc>
          <w:tcPr>
            <w:tcW w:w="4394" w:type="dxa"/>
            <w:tcBorders>
              <w:top w:val="single" w:color="auto" w:sz="8" w:space="0"/>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近三年全部为</w:t>
            </w:r>
            <w:r>
              <w:rPr>
                <w:rFonts w:cs="Calibri"/>
                <w:color w:val="000000"/>
                <w:kern w:val="0"/>
                <w:sz w:val="20"/>
                <w:szCs w:val="20"/>
              </w:rPr>
              <w:t>A</w:t>
            </w:r>
            <w:r>
              <w:rPr>
                <w:rFonts w:hint="eastAsia" w:ascii="宋体" w:hAnsi="宋体" w:cs="宋体"/>
                <w:color w:val="000000"/>
                <w:kern w:val="0"/>
                <w:sz w:val="20"/>
                <w:szCs w:val="20"/>
              </w:rPr>
              <w:t>等的</w:t>
            </w:r>
            <w:r>
              <w:rPr>
                <w:rFonts w:ascii="宋体" w:hAnsi="宋体" w:cs="宋体"/>
                <w:color w:val="000000"/>
                <w:kern w:val="0"/>
                <w:sz w:val="20"/>
                <w:szCs w:val="20"/>
              </w:rPr>
              <w:t>，</w:t>
            </w:r>
            <w:r>
              <w:rPr>
                <w:rFonts w:hint="eastAsia" w:ascii="宋体" w:hAnsi="宋体" w:cs="宋体"/>
                <w:color w:val="000000"/>
                <w:kern w:val="0"/>
                <w:sz w:val="20"/>
                <w:szCs w:val="20"/>
              </w:rPr>
              <w:t>得</w:t>
            </w:r>
            <w:r>
              <w:rPr>
                <w:rFonts w:hint="eastAsia" w:cs="Calibri"/>
                <w:color w:val="000000"/>
                <w:kern w:val="0"/>
                <w:sz w:val="20"/>
                <w:szCs w:val="20"/>
              </w:rPr>
              <w:t>1</w:t>
            </w:r>
            <w:r>
              <w:rPr>
                <w:rFonts w:hint="eastAsia" w:ascii="宋体" w:hAnsi="宋体" w:cs="宋体"/>
                <w:color w:val="000000"/>
                <w:kern w:val="0"/>
                <w:sz w:val="20"/>
                <w:szCs w:val="20"/>
              </w:rPr>
              <w:t>分；近</w:t>
            </w:r>
            <w:r>
              <w:rPr>
                <w:rFonts w:ascii="宋体" w:hAnsi="宋体" w:cs="宋体"/>
                <w:color w:val="000000"/>
                <w:kern w:val="0"/>
                <w:sz w:val="20"/>
                <w:szCs w:val="20"/>
              </w:rPr>
              <w:t>三年</w:t>
            </w:r>
            <w:r>
              <w:rPr>
                <w:rFonts w:hint="eastAsia" w:ascii="宋体" w:hAnsi="宋体" w:cs="宋体"/>
                <w:color w:val="000000"/>
                <w:kern w:val="0"/>
                <w:sz w:val="20"/>
                <w:szCs w:val="20"/>
                <w:lang w:val="en-US" w:eastAsia="zh-CN"/>
              </w:rPr>
              <w:t>全</w:t>
            </w:r>
            <w:r>
              <w:rPr>
                <w:rFonts w:ascii="宋体" w:hAnsi="宋体" w:cs="宋体"/>
                <w:color w:val="000000"/>
                <w:kern w:val="0"/>
                <w:sz w:val="20"/>
                <w:szCs w:val="20"/>
              </w:rPr>
              <w:t>为</w:t>
            </w:r>
            <w:r>
              <w:rPr>
                <w:rFonts w:hint="eastAsia" w:ascii="宋体" w:hAnsi="宋体" w:cs="宋体"/>
                <w:color w:val="000000"/>
                <w:kern w:val="0"/>
                <w:sz w:val="20"/>
                <w:szCs w:val="20"/>
                <w:lang w:val="en-US" w:eastAsia="zh-CN"/>
              </w:rPr>
              <w:t>B</w:t>
            </w:r>
            <w:r>
              <w:rPr>
                <w:rFonts w:hint="eastAsia" w:ascii="宋体" w:hAnsi="宋体" w:cs="宋体"/>
                <w:color w:val="000000"/>
                <w:kern w:val="0"/>
                <w:sz w:val="20"/>
                <w:szCs w:val="20"/>
              </w:rPr>
              <w:t>等</w:t>
            </w:r>
            <w:r>
              <w:rPr>
                <w:rFonts w:hint="eastAsia" w:ascii="宋体" w:hAnsi="宋体" w:cs="宋体"/>
                <w:color w:val="000000"/>
                <w:kern w:val="0"/>
                <w:sz w:val="20"/>
                <w:szCs w:val="20"/>
                <w:lang w:val="en-US" w:eastAsia="zh-CN"/>
              </w:rPr>
              <w:t>及以上的</w:t>
            </w:r>
            <w:r>
              <w:rPr>
                <w:rFonts w:hint="eastAsia" w:ascii="宋体" w:hAnsi="宋体" w:cs="宋体"/>
                <w:color w:val="000000"/>
                <w:kern w:val="0"/>
                <w:sz w:val="20"/>
                <w:szCs w:val="20"/>
              </w:rPr>
              <w:t>，得</w:t>
            </w:r>
            <w:r>
              <w:rPr>
                <w:rFonts w:hint="eastAsia" w:cs="Calibri"/>
                <w:color w:val="000000"/>
                <w:kern w:val="0"/>
                <w:sz w:val="20"/>
                <w:szCs w:val="20"/>
              </w:rPr>
              <w:t>0.5</w:t>
            </w:r>
            <w:r>
              <w:rPr>
                <w:rFonts w:hint="eastAsia" w:ascii="宋体" w:hAnsi="宋体" w:cs="宋体"/>
                <w:color w:val="000000"/>
                <w:kern w:val="0"/>
                <w:sz w:val="20"/>
                <w:szCs w:val="20"/>
              </w:rPr>
              <w:t>分；否则得</w:t>
            </w:r>
            <w:r>
              <w:rPr>
                <w:rFonts w:cs="Calibri"/>
                <w:color w:val="000000"/>
                <w:kern w:val="0"/>
                <w:sz w:val="20"/>
                <w:szCs w:val="20"/>
              </w:rPr>
              <w:t>0</w:t>
            </w:r>
            <w:r>
              <w:rPr>
                <w:rFonts w:hint="eastAsia" w:ascii="宋体" w:hAnsi="宋体" w:cs="宋体"/>
                <w:color w:val="000000"/>
                <w:kern w:val="0"/>
                <w:sz w:val="20"/>
                <w:szCs w:val="20"/>
              </w:rPr>
              <w:t>分。</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15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color w:val="000000"/>
                <w:kern w:val="0"/>
                <w:sz w:val="20"/>
                <w:szCs w:val="20"/>
              </w:rPr>
            </w:pPr>
          </w:p>
        </w:tc>
        <w:tc>
          <w:tcPr>
            <w:tcW w:w="2126" w:type="dxa"/>
            <w:tcBorders>
              <w:top w:val="single" w:color="auto" w:sz="8" w:space="0"/>
              <w:left w:val="nil"/>
              <w:bottom w:val="single" w:color="auto" w:sz="8" w:space="0"/>
              <w:right w:val="single" w:color="auto" w:sz="8" w:space="0"/>
            </w:tcBorders>
            <w:vAlign w:val="center"/>
          </w:tcPr>
          <w:p>
            <w:pPr>
              <w:widowControl/>
              <w:jc w:val="center"/>
              <w:rPr>
                <w:rFonts w:asci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银监监管评级</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cs="Calibri"/>
                <w:color w:val="000000" w:themeColor="text1"/>
                <w:kern w:val="0"/>
                <w:sz w:val="20"/>
                <w:szCs w:val="20"/>
                <w14:textFill>
                  <w14:solidFill>
                    <w14:schemeClr w14:val="tx1"/>
                  </w14:solidFill>
                </w14:textFill>
              </w:rPr>
            </w:pPr>
            <w:r>
              <w:rPr>
                <w:rFonts w:hint="eastAsia" w:cs="Calibri"/>
                <w:color w:val="000000" w:themeColor="text1"/>
                <w:kern w:val="0"/>
                <w:sz w:val="20"/>
                <w:szCs w:val="20"/>
                <w14:textFill>
                  <w14:solidFill>
                    <w14:schemeClr w14:val="tx1"/>
                  </w14:solidFill>
                </w14:textFill>
              </w:rPr>
              <w:t>1</w:t>
            </w:r>
          </w:p>
        </w:tc>
        <w:tc>
          <w:tcPr>
            <w:tcW w:w="4394" w:type="dxa"/>
            <w:tcBorders>
              <w:top w:val="single" w:color="auto" w:sz="8" w:space="0"/>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近三年全部为</w:t>
            </w:r>
            <w:r>
              <w:rPr>
                <w:rFonts w:cs="Calibri"/>
                <w:color w:val="000000"/>
                <w:kern w:val="0"/>
                <w:sz w:val="20"/>
                <w:szCs w:val="20"/>
              </w:rPr>
              <w:t>1</w:t>
            </w:r>
            <w:r>
              <w:rPr>
                <w:rFonts w:hint="eastAsia" w:ascii="宋体" w:hAnsi="宋体" w:cs="宋体"/>
                <w:color w:val="000000"/>
                <w:kern w:val="0"/>
                <w:sz w:val="20"/>
                <w:szCs w:val="20"/>
              </w:rPr>
              <w:t>级的</w:t>
            </w:r>
            <w:r>
              <w:rPr>
                <w:rFonts w:ascii="宋体" w:hAnsi="宋体" w:cs="宋体"/>
                <w:color w:val="000000"/>
                <w:kern w:val="0"/>
                <w:sz w:val="20"/>
                <w:szCs w:val="20"/>
              </w:rPr>
              <w:t>，</w:t>
            </w:r>
            <w:r>
              <w:rPr>
                <w:rFonts w:hint="eastAsia" w:ascii="宋体" w:hAnsi="宋体" w:cs="宋体"/>
                <w:color w:val="000000"/>
                <w:kern w:val="0"/>
                <w:sz w:val="20"/>
                <w:szCs w:val="20"/>
              </w:rPr>
              <w:t>得</w:t>
            </w:r>
            <w:r>
              <w:rPr>
                <w:rFonts w:hint="eastAsia" w:cs="Calibri"/>
                <w:color w:val="000000"/>
                <w:kern w:val="0"/>
                <w:sz w:val="20"/>
                <w:szCs w:val="20"/>
              </w:rPr>
              <w:t>1</w:t>
            </w:r>
            <w:r>
              <w:rPr>
                <w:rFonts w:hint="eastAsia" w:ascii="宋体" w:hAnsi="宋体" w:cs="宋体"/>
                <w:color w:val="000000"/>
                <w:kern w:val="0"/>
                <w:sz w:val="20"/>
                <w:szCs w:val="20"/>
              </w:rPr>
              <w:t>分；近</w:t>
            </w:r>
            <w:r>
              <w:rPr>
                <w:rFonts w:ascii="宋体" w:hAnsi="宋体" w:cs="宋体"/>
                <w:color w:val="000000"/>
                <w:kern w:val="0"/>
                <w:sz w:val="20"/>
                <w:szCs w:val="20"/>
              </w:rPr>
              <w:t>三年</w:t>
            </w:r>
            <w:r>
              <w:rPr>
                <w:rFonts w:hint="eastAsia" w:ascii="宋体" w:hAnsi="宋体" w:cs="宋体"/>
                <w:color w:val="000000"/>
                <w:kern w:val="0"/>
                <w:sz w:val="20"/>
                <w:szCs w:val="20"/>
                <w:lang w:val="en-US" w:eastAsia="zh-CN"/>
              </w:rPr>
              <w:t>全</w:t>
            </w:r>
            <w:r>
              <w:rPr>
                <w:rFonts w:hint="eastAsia" w:ascii="宋体" w:hAnsi="宋体" w:cs="宋体"/>
                <w:color w:val="000000"/>
                <w:kern w:val="0"/>
                <w:sz w:val="20"/>
                <w:szCs w:val="20"/>
              </w:rPr>
              <w:t>为</w:t>
            </w:r>
            <w:r>
              <w:rPr>
                <w:rFonts w:hint="eastAsia" w:cs="Calibri"/>
                <w:color w:val="000000"/>
                <w:kern w:val="0"/>
                <w:sz w:val="20"/>
                <w:szCs w:val="20"/>
                <w:lang w:val="en-US" w:eastAsia="zh-CN"/>
              </w:rPr>
              <w:t>2</w:t>
            </w:r>
            <w:r>
              <w:rPr>
                <w:rFonts w:hint="eastAsia" w:ascii="宋体" w:hAnsi="宋体" w:cs="宋体"/>
                <w:color w:val="000000"/>
                <w:kern w:val="0"/>
                <w:sz w:val="20"/>
                <w:szCs w:val="20"/>
              </w:rPr>
              <w:t>级</w:t>
            </w:r>
            <w:r>
              <w:rPr>
                <w:rFonts w:hint="eastAsia" w:ascii="宋体" w:hAnsi="宋体" w:cs="宋体"/>
                <w:color w:val="000000"/>
                <w:kern w:val="0"/>
                <w:sz w:val="20"/>
                <w:szCs w:val="20"/>
                <w:lang w:val="en-US" w:eastAsia="zh-CN"/>
              </w:rPr>
              <w:t>及以上的</w:t>
            </w:r>
            <w:r>
              <w:rPr>
                <w:rFonts w:ascii="宋体" w:hAnsi="宋体" w:cs="宋体"/>
                <w:color w:val="000000"/>
                <w:kern w:val="0"/>
                <w:sz w:val="20"/>
                <w:szCs w:val="20"/>
              </w:rPr>
              <w:t>，</w:t>
            </w:r>
            <w:r>
              <w:rPr>
                <w:rFonts w:hint="eastAsia" w:ascii="宋体" w:hAnsi="宋体" w:cs="宋体"/>
                <w:color w:val="000000"/>
                <w:kern w:val="0"/>
                <w:sz w:val="20"/>
                <w:szCs w:val="20"/>
              </w:rPr>
              <w:t>得</w:t>
            </w:r>
            <w:r>
              <w:rPr>
                <w:rFonts w:hint="eastAsia" w:cs="Calibri"/>
                <w:color w:val="000000"/>
                <w:kern w:val="0"/>
                <w:sz w:val="20"/>
                <w:szCs w:val="20"/>
              </w:rPr>
              <w:t>0.5</w:t>
            </w:r>
            <w:r>
              <w:rPr>
                <w:rFonts w:hint="eastAsia" w:ascii="宋体" w:hAnsi="宋体" w:cs="宋体"/>
                <w:color w:val="000000"/>
                <w:kern w:val="0"/>
                <w:sz w:val="20"/>
                <w:szCs w:val="20"/>
              </w:rPr>
              <w:t>分；否则得</w:t>
            </w:r>
            <w:r>
              <w:rPr>
                <w:rFonts w:cs="Calibri"/>
                <w:color w:val="000000"/>
                <w:kern w:val="0"/>
                <w:sz w:val="20"/>
                <w:szCs w:val="20"/>
              </w:rPr>
              <w:t>0</w:t>
            </w:r>
            <w:r>
              <w:rPr>
                <w:rFonts w:hint="eastAsia" w:ascii="宋体" w:hAnsi="宋体" w:cs="宋体"/>
                <w:color w:val="000000"/>
                <w:kern w:val="0"/>
                <w:sz w:val="20"/>
                <w:szCs w:val="20"/>
              </w:rPr>
              <w:t>分。</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55" w:hRule="atLeast"/>
        </w:trPr>
        <w:tc>
          <w:tcPr>
            <w:tcW w:w="156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color w:val="000000"/>
                <w:kern w:val="0"/>
                <w:sz w:val="20"/>
                <w:szCs w:val="20"/>
              </w:rPr>
            </w:pPr>
          </w:p>
        </w:tc>
        <w:tc>
          <w:tcPr>
            <w:tcW w:w="2126" w:type="dxa"/>
            <w:tcBorders>
              <w:top w:val="single" w:color="auto" w:sz="8" w:space="0"/>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机构评级</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cs="Calibri"/>
                <w:color w:val="000000"/>
                <w:kern w:val="0"/>
                <w:sz w:val="20"/>
                <w:szCs w:val="20"/>
              </w:rPr>
            </w:pPr>
            <w:r>
              <w:rPr>
                <w:rFonts w:cs="Calibri"/>
                <w:color w:val="000000"/>
                <w:kern w:val="0"/>
                <w:sz w:val="20"/>
                <w:szCs w:val="20"/>
              </w:rPr>
              <w:t>4</w:t>
            </w:r>
          </w:p>
        </w:tc>
        <w:tc>
          <w:tcPr>
            <w:tcW w:w="4394" w:type="dxa"/>
            <w:tcBorders>
              <w:top w:val="single" w:color="auto" w:sz="8" w:space="0"/>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A+/A/A-</w:t>
            </w:r>
            <w:r>
              <w:rPr>
                <w:rFonts w:hint="eastAsia" w:ascii="宋体" w:hAnsi="宋体" w:cs="宋体"/>
                <w:color w:val="000000"/>
                <w:kern w:val="0"/>
                <w:sz w:val="20"/>
                <w:szCs w:val="20"/>
              </w:rPr>
              <w:t>的</w:t>
            </w:r>
            <w:r>
              <w:rPr>
                <w:rFonts w:ascii="宋体" w:hAnsi="宋体" w:cs="宋体"/>
                <w:color w:val="000000"/>
                <w:kern w:val="0"/>
                <w:sz w:val="20"/>
                <w:szCs w:val="20"/>
              </w:rPr>
              <w:t>4</w:t>
            </w:r>
            <w:r>
              <w:rPr>
                <w:rFonts w:hint="eastAsia" w:ascii="宋体" w:hAnsi="宋体" w:cs="宋体"/>
                <w:color w:val="000000"/>
                <w:kern w:val="0"/>
                <w:sz w:val="20"/>
                <w:szCs w:val="20"/>
              </w:rPr>
              <w:t>分，</w:t>
            </w:r>
            <w:r>
              <w:rPr>
                <w:rFonts w:ascii="宋体" w:hAnsi="宋体" w:cs="宋体"/>
                <w:color w:val="000000"/>
                <w:kern w:val="0"/>
                <w:sz w:val="20"/>
                <w:szCs w:val="20"/>
              </w:rPr>
              <w:t>BBB+/BBB/BBB-</w:t>
            </w:r>
            <w:r>
              <w:rPr>
                <w:rFonts w:hint="eastAsia" w:ascii="宋体" w:hAnsi="宋体" w:cs="宋体"/>
                <w:color w:val="000000"/>
                <w:kern w:val="0"/>
                <w:sz w:val="20"/>
                <w:szCs w:val="20"/>
              </w:rPr>
              <w:t>，</w:t>
            </w:r>
            <w:r>
              <w:rPr>
                <w:rFonts w:ascii="宋体" w:hAnsi="宋体" w:cs="宋体"/>
                <w:color w:val="000000"/>
                <w:kern w:val="0"/>
                <w:sz w:val="20"/>
                <w:szCs w:val="20"/>
              </w:rPr>
              <w:t>3</w:t>
            </w:r>
            <w:r>
              <w:rPr>
                <w:rFonts w:hint="eastAsia" w:ascii="宋体" w:hAnsi="宋体" w:cs="宋体"/>
                <w:color w:val="000000"/>
                <w:kern w:val="0"/>
                <w:sz w:val="20"/>
                <w:szCs w:val="20"/>
              </w:rPr>
              <w:t>分，</w:t>
            </w:r>
            <w:r>
              <w:rPr>
                <w:rFonts w:ascii="宋体" w:hAnsi="宋体" w:cs="宋体"/>
                <w:color w:val="000000"/>
                <w:kern w:val="0"/>
                <w:sz w:val="20"/>
                <w:szCs w:val="20"/>
              </w:rPr>
              <w:t>BB+/BB/BB-</w:t>
            </w:r>
            <w:r>
              <w:rPr>
                <w:rFonts w:hint="eastAsia" w:ascii="宋体" w:hAnsi="宋体" w:cs="宋体"/>
                <w:color w:val="000000"/>
                <w:kern w:val="0"/>
                <w:sz w:val="20"/>
                <w:szCs w:val="20"/>
              </w:rPr>
              <w:t>：</w:t>
            </w:r>
            <w:r>
              <w:rPr>
                <w:rFonts w:ascii="宋体" w:hAnsi="宋体" w:cs="宋体"/>
                <w:color w:val="000000"/>
                <w:kern w:val="0"/>
                <w:sz w:val="20"/>
                <w:szCs w:val="20"/>
              </w:rPr>
              <w:t>2</w:t>
            </w:r>
            <w:r>
              <w:rPr>
                <w:rFonts w:hint="eastAsia" w:ascii="宋体" w:hAnsi="宋体" w:cs="宋体"/>
                <w:color w:val="000000"/>
                <w:kern w:val="0"/>
                <w:sz w:val="20"/>
                <w:szCs w:val="20"/>
              </w:rPr>
              <w:t>分，无评级不得分（此为惠誉评分标准，如提供的为其他评级，按此折算酌情给分）</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1103" w:hRule="atLeast"/>
        </w:trPr>
        <w:tc>
          <w:tcPr>
            <w:tcW w:w="1560" w:type="dxa"/>
            <w:vMerge w:val="restart"/>
            <w:tcBorders>
              <w:top w:val="single" w:color="auto" w:sz="8" w:space="0"/>
              <w:left w:val="single" w:color="auto" w:sz="8" w:space="0"/>
              <w:right w:val="single" w:color="auto" w:sz="8"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历史合作记录及服务承诺（满分</w:t>
            </w:r>
            <w:r>
              <w:rPr>
                <w:rFonts w:ascii="宋体" w:hAnsi="宋体" w:cs="宋体"/>
                <w:color w:val="000000"/>
                <w:kern w:val="0"/>
                <w:sz w:val="20"/>
                <w:szCs w:val="20"/>
              </w:rPr>
              <w:t>2</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分）</w:t>
            </w:r>
          </w:p>
        </w:tc>
        <w:tc>
          <w:tcPr>
            <w:tcW w:w="2126" w:type="dxa"/>
            <w:tcBorders>
              <w:top w:val="single" w:color="auto" w:sz="8" w:space="0"/>
              <w:left w:val="nil"/>
              <w:bottom w:val="single" w:color="auto" w:sz="8" w:space="0"/>
              <w:right w:val="nil"/>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服务方案</w:t>
            </w:r>
          </w:p>
        </w:tc>
        <w:tc>
          <w:tcPr>
            <w:tcW w:w="709"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eastAsia="宋体" w:cs="Calibri"/>
                <w:color w:val="000000" w:themeColor="text1"/>
                <w:kern w:val="0"/>
                <w:sz w:val="20"/>
                <w:szCs w:val="20"/>
                <w:lang w:eastAsia="zh-CN"/>
                <w14:textFill>
                  <w14:solidFill>
                    <w14:schemeClr w14:val="tx1"/>
                  </w14:solidFill>
                </w14:textFill>
              </w:rPr>
            </w:pPr>
            <w:r>
              <w:rPr>
                <w:rFonts w:hint="eastAsia" w:cs="Calibri"/>
                <w:color w:val="000000" w:themeColor="text1"/>
                <w:kern w:val="0"/>
                <w:sz w:val="20"/>
                <w:szCs w:val="20"/>
                <w:lang w:val="en-US" w:eastAsia="zh-CN"/>
                <w14:textFill>
                  <w14:solidFill>
                    <w14:schemeClr w14:val="tx1"/>
                  </w14:solidFill>
                </w14:textFill>
              </w:rPr>
              <w:t>8</w:t>
            </w:r>
          </w:p>
        </w:tc>
        <w:tc>
          <w:tcPr>
            <w:tcW w:w="4394" w:type="dxa"/>
            <w:tcBorders>
              <w:top w:val="single" w:color="auto" w:sz="8" w:space="0"/>
              <w:left w:val="nil"/>
              <w:bottom w:val="single" w:color="auto" w:sz="8" w:space="0"/>
              <w:right w:val="single" w:color="auto" w:sz="8"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kern w:val="0"/>
                <w:sz w:val="20"/>
                <w:szCs w:val="20"/>
              </w:rPr>
              <w:t>如：</w:t>
            </w:r>
            <w:r>
              <w:rPr>
                <w:rFonts w:hint="eastAsia" w:ascii="宋体" w:hAnsi="宋体" w:cs="宋体"/>
                <w:color w:val="000000"/>
                <w:kern w:val="0"/>
                <w:sz w:val="20"/>
                <w:szCs w:val="20"/>
                <w:lang w:val="en-US" w:eastAsia="zh-CN"/>
              </w:rPr>
              <w:t>本次服务方案，包括服务响应时间、为培训公司或服务公司提供的过往服务案例</w:t>
            </w:r>
            <w:r>
              <w:rPr>
                <w:rFonts w:hint="eastAsia" w:ascii="宋体" w:hAnsi="宋体" w:cs="宋体"/>
                <w:color w:val="000000"/>
                <w:kern w:val="0"/>
                <w:sz w:val="20"/>
                <w:szCs w:val="20"/>
              </w:rPr>
              <w:t>等等。视情得0-</w:t>
            </w:r>
            <w:r>
              <w:rPr>
                <w:rFonts w:hint="eastAsia" w:ascii="宋体" w:hAnsi="宋体" w:cs="宋体"/>
                <w:color w:val="000000"/>
                <w:kern w:val="0"/>
                <w:sz w:val="20"/>
                <w:szCs w:val="20"/>
                <w:lang w:val="en-US" w:eastAsia="zh-CN"/>
              </w:rPr>
              <w:t>8</w:t>
            </w:r>
            <w:r>
              <w:rPr>
                <w:rFonts w:hint="eastAsia" w:ascii="宋体" w:hAnsi="宋体" w:cs="宋体"/>
                <w:color w:val="000000"/>
                <w:kern w:val="0"/>
                <w:sz w:val="20"/>
                <w:szCs w:val="20"/>
              </w:rPr>
              <w:t>分。</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510" w:hRule="atLeast"/>
        </w:trPr>
        <w:tc>
          <w:tcPr>
            <w:tcW w:w="1560" w:type="dxa"/>
            <w:vMerge w:val="continue"/>
            <w:tcBorders>
              <w:left w:val="single" w:color="auto" w:sz="8" w:space="0"/>
              <w:right w:val="single" w:color="auto" w:sz="8" w:space="0"/>
            </w:tcBorders>
            <w:vAlign w:val="center"/>
          </w:tcPr>
          <w:p>
            <w:pPr>
              <w:widowControl/>
              <w:jc w:val="center"/>
              <w:rPr>
                <w:rFonts w:ascii="宋体" w:cs="宋体"/>
                <w:color w:val="000000"/>
                <w:kern w:val="0"/>
                <w:sz w:val="20"/>
                <w:szCs w:val="20"/>
              </w:rPr>
            </w:pPr>
          </w:p>
        </w:tc>
        <w:tc>
          <w:tcPr>
            <w:tcW w:w="2126" w:type="dxa"/>
            <w:tcBorders>
              <w:top w:val="single" w:color="auto" w:sz="8" w:space="0"/>
              <w:left w:val="nil"/>
              <w:bottom w:val="single" w:color="auto" w:sz="8" w:space="0"/>
              <w:right w:val="nil"/>
            </w:tcBorders>
            <w:vAlign w:val="center"/>
          </w:tcPr>
          <w:p>
            <w:pPr>
              <w:widowControl/>
              <w:jc w:val="center"/>
              <w:rPr>
                <w:rFonts w:ascii="宋体" w:cs="宋体"/>
                <w:kern w:val="0"/>
                <w:sz w:val="20"/>
                <w:szCs w:val="20"/>
              </w:rPr>
            </w:pPr>
            <w:r>
              <w:rPr>
                <w:rFonts w:hint="eastAsia" w:ascii="宋体" w:hAnsi="宋体" w:cs="宋体"/>
                <w:kern w:val="0"/>
                <w:sz w:val="20"/>
                <w:szCs w:val="20"/>
              </w:rPr>
              <w:t>贷款服务</w:t>
            </w:r>
          </w:p>
        </w:tc>
        <w:tc>
          <w:tcPr>
            <w:tcW w:w="709" w:type="dxa"/>
            <w:tcBorders>
              <w:top w:val="single" w:color="auto" w:sz="8" w:space="0"/>
              <w:left w:val="single" w:color="auto" w:sz="8" w:space="0"/>
              <w:bottom w:val="single" w:color="auto" w:sz="8" w:space="0"/>
              <w:right w:val="single" w:color="auto" w:sz="8" w:space="0"/>
            </w:tcBorders>
            <w:vAlign w:val="center"/>
          </w:tcPr>
          <w:p>
            <w:pPr>
              <w:widowControl/>
              <w:jc w:val="center"/>
              <w:rPr>
                <w:rFonts w:cs="Calibri"/>
                <w:color w:val="000000"/>
                <w:kern w:val="0"/>
                <w:sz w:val="20"/>
                <w:szCs w:val="20"/>
              </w:rPr>
            </w:pPr>
            <w:r>
              <w:rPr>
                <w:rFonts w:hint="eastAsia" w:cs="Calibri"/>
                <w:color w:val="000000"/>
                <w:kern w:val="0"/>
                <w:sz w:val="20"/>
                <w:szCs w:val="20"/>
              </w:rPr>
              <w:t>4</w:t>
            </w:r>
          </w:p>
        </w:tc>
        <w:tc>
          <w:tcPr>
            <w:tcW w:w="4394" w:type="dxa"/>
            <w:tcBorders>
              <w:top w:val="single" w:color="auto" w:sz="8" w:space="0"/>
              <w:left w:val="nil"/>
              <w:bottom w:val="single" w:color="auto" w:sz="8" w:space="0"/>
              <w:right w:val="single" w:color="auto" w:sz="8" w:space="0"/>
            </w:tcBorders>
            <w:vAlign w:val="center"/>
          </w:tcPr>
          <w:p>
            <w:pPr>
              <w:widowControl/>
              <w:jc w:val="left"/>
              <w:rPr>
                <w:rFonts w:ascii="宋体" w:cs="宋体"/>
                <w:kern w:val="0"/>
                <w:sz w:val="20"/>
                <w:szCs w:val="20"/>
              </w:rPr>
            </w:pPr>
            <w:r>
              <w:rPr>
                <w:rFonts w:hint="eastAsia" w:ascii="宋体" w:hAnsi="宋体" w:cs="宋体"/>
                <w:kern w:val="0"/>
                <w:sz w:val="20"/>
                <w:szCs w:val="20"/>
              </w:rPr>
              <w:t>近三年来为省机场集团或下属机场提供过基准下浮贷款服务的，得4分；未提供的不得分。</w:t>
            </w:r>
          </w:p>
        </w:tc>
        <w:tc>
          <w:tcPr>
            <w:tcW w:w="709" w:type="dxa"/>
            <w:tcBorders>
              <w:top w:val="single" w:color="auto" w:sz="8" w:space="0"/>
              <w:left w:val="nil"/>
              <w:bottom w:val="single" w:color="auto" w:sz="8" w:space="0"/>
              <w:right w:val="single" w:color="auto" w:sz="8"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75" w:hRule="atLeast"/>
        </w:trPr>
        <w:tc>
          <w:tcPr>
            <w:tcW w:w="1560" w:type="dxa"/>
            <w:vMerge w:val="continue"/>
            <w:tcBorders>
              <w:left w:val="single" w:color="auto" w:sz="8" w:space="0"/>
              <w:right w:val="single" w:color="auto" w:sz="8" w:space="0"/>
            </w:tcBorders>
            <w:vAlign w:val="center"/>
          </w:tcPr>
          <w:p>
            <w:pPr>
              <w:widowControl/>
              <w:jc w:val="left"/>
              <w:rPr>
                <w:rFonts w:ascii="宋体" w:cs="宋体"/>
                <w:color w:val="000000"/>
                <w:kern w:val="0"/>
                <w:sz w:val="20"/>
                <w:szCs w:val="20"/>
              </w:rPr>
            </w:pPr>
          </w:p>
        </w:tc>
        <w:tc>
          <w:tcPr>
            <w:tcW w:w="2126" w:type="dxa"/>
            <w:tcBorders>
              <w:top w:val="nil"/>
              <w:left w:val="nil"/>
              <w:bottom w:val="single" w:color="auto" w:sz="8" w:space="0"/>
              <w:right w:val="nil"/>
            </w:tcBorders>
            <w:vAlign w:val="center"/>
          </w:tcPr>
          <w:p>
            <w:pPr>
              <w:widowControl/>
              <w:jc w:val="center"/>
              <w:rPr>
                <w:rFonts w:ascii="宋体" w:cs="宋体"/>
                <w:color w:val="000000"/>
                <w:kern w:val="0"/>
                <w:sz w:val="20"/>
                <w:szCs w:val="20"/>
              </w:rPr>
            </w:pPr>
            <w:r>
              <w:rPr>
                <w:rFonts w:ascii="宋体" w:cs="宋体"/>
                <w:color w:val="000000"/>
                <w:kern w:val="0"/>
                <w:sz w:val="20"/>
                <w:szCs w:val="20"/>
              </w:rPr>
              <w:t>承诺可提供的其他服务</w:t>
            </w:r>
          </w:p>
        </w:tc>
        <w:tc>
          <w:tcPr>
            <w:tcW w:w="709" w:type="dxa"/>
            <w:tcBorders>
              <w:top w:val="nil"/>
              <w:left w:val="single" w:color="auto" w:sz="8" w:space="0"/>
              <w:bottom w:val="single" w:color="auto" w:sz="8" w:space="0"/>
              <w:right w:val="single" w:color="auto" w:sz="8" w:space="0"/>
            </w:tcBorders>
            <w:vAlign w:val="center"/>
          </w:tcPr>
          <w:p>
            <w:pPr>
              <w:widowControl/>
              <w:jc w:val="center"/>
              <w:rPr>
                <w:rFonts w:cs="Calibri"/>
                <w:color w:val="000000"/>
                <w:kern w:val="0"/>
                <w:sz w:val="20"/>
                <w:szCs w:val="20"/>
              </w:rPr>
            </w:pPr>
            <w:r>
              <w:rPr>
                <w:rFonts w:hint="eastAsia" w:cs="Calibri"/>
                <w:color w:val="000000"/>
                <w:kern w:val="0"/>
                <w:sz w:val="20"/>
                <w:szCs w:val="20"/>
              </w:rPr>
              <w:t>6</w:t>
            </w:r>
          </w:p>
        </w:tc>
        <w:tc>
          <w:tcPr>
            <w:tcW w:w="4394"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如：手续费减免、上门服务等等。视情得0-6分。</w:t>
            </w:r>
          </w:p>
        </w:tc>
        <w:tc>
          <w:tcPr>
            <w:tcW w:w="709"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p>
        </w:tc>
      </w:tr>
      <w:tr>
        <w:tblPrEx>
          <w:tblLayout w:type="fixed"/>
          <w:tblCellMar>
            <w:top w:w="0" w:type="dxa"/>
            <w:left w:w="108" w:type="dxa"/>
            <w:bottom w:w="0" w:type="dxa"/>
            <w:right w:w="108" w:type="dxa"/>
          </w:tblCellMar>
        </w:tblPrEx>
        <w:trPr>
          <w:trHeight w:val="975" w:hRule="atLeast"/>
        </w:trPr>
        <w:tc>
          <w:tcPr>
            <w:tcW w:w="1560" w:type="dxa"/>
            <w:vMerge w:val="continue"/>
            <w:tcBorders>
              <w:left w:val="single" w:color="auto" w:sz="8" w:space="0"/>
              <w:bottom w:val="single" w:color="000000" w:sz="4" w:space="0"/>
              <w:right w:val="single" w:color="auto" w:sz="8" w:space="0"/>
            </w:tcBorders>
            <w:vAlign w:val="center"/>
          </w:tcPr>
          <w:p>
            <w:pPr>
              <w:widowControl/>
              <w:jc w:val="left"/>
              <w:rPr>
                <w:rFonts w:ascii="宋体" w:cs="宋体"/>
                <w:color w:val="000000"/>
                <w:kern w:val="0"/>
                <w:sz w:val="20"/>
                <w:szCs w:val="20"/>
              </w:rPr>
            </w:pPr>
          </w:p>
        </w:tc>
        <w:tc>
          <w:tcPr>
            <w:tcW w:w="2126" w:type="dxa"/>
            <w:tcBorders>
              <w:top w:val="nil"/>
              <w:left w:val="nil"/>
              <w:bottom w:val="single" w:color="auto" w:sz="8" w:space="0"/>
              <w:right w:val="nil"/>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承诺可提供的配套金融服务</w:t>
            </w:r>
          </w:p>
        </w:tc>
        <w:tc>
          <w:tcPr>
            <w:tcW w:w="709" w:type="dxa"/>
            <w:tcBorders>
              <w:top w:val="nil"/>
              <w:left w:val="single" w:color="auto" w:sz="8" w:space="0"/>
              <w:bottom w:val="single" w:color="auto" w:sz="8" w:space="0"/>
              <w:right w:val="single" w:color="auto" w:sz="8" w:space="0"/>
            </w:tcBorders>
            <w:vAlign w:val="center"/>
          </w:tcPr>
          <w:p>
            <w:pPr>
              <w:widowControl/>
              <w:jc w:val="center"/>
              <w:rPr>
                <w:rFonts w:cs="Calibri"/>
                <w:color w:val="000000"/>
                <w:kern w:val="0"/>
                <w:sz w:val="20"/>
                <w:szCs w:val="20"/>
              </w:rPr>
            </w:pPr>
            <w:r>
              <w:rPr>
                <w:rFonts w:hint="eastAsia" w:cs="Calibri"/>
                <w:color w:val="000000"/>
                <w:kern w:val="0"/>
                <w:sz w:val="20"/>
                <w:szCs w:val="20"/>
              </w:rPr>
              <w:t>6</w:t>
            </w:r>
          </w:p>
        </w:tc>
        <w:tc>
          <w:tcPr>
            <w:tcW w:w="4394" w:type="dxa"/>
            <w:tcBorders>
              <w:top w:val="nil"/>
              <w:left w:val="nil"/>
              <w:bottom w:val="single" w:color="auto" w:sz="8" w:space="0"/>
              <w:right w:val="single" w:color="auto" w:sz="8"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如：贷款、年金管理、信用卡服务、员工增值服务等等。酌情加</w:t>
            </w:r>
            <w:r>
              <w:rPr>
                <w:rFonts w:ascii="宋体" w:hAnsi="宋体" w:cs="宋体"/>
                <w:color w:val="000000"/>
                <w:kern w:val="0"/>
                <w:sz w:val="20"/>
                <w:szCs w:val="20"/>
              </w:rPr>
              <w:t>0-</w:t>
            </w:r>
            <w:r>
              <w:rPr>
                <w:rFonts w:hint="eastAsia" w:ascii="宋体" w:hAnsi="宋体" w:cs="宋体"/>
                <w:color w:val="000000"/>
                <w:kern w:val="0"/>
                <w:sz w:val="20"/>
                <w:szCs w:val="20"/>
              </w:rPr>
              <w:t>6分。</w:t>
            </w:r>
          </w:p>
        </w:tc>
        <w:tc>
          <w:tcPr>
            <w:tcW w:w="709" w:type="dxa"/>
            <w:tcBorders>
              <w:top w:val="nil"/>
              <w:left w:val="nil"/>
              <w:bottom w:val="single" w:color="auto" w:sz="8" w:space="0"/>
              <w:right w:val="single" w:color="auto" w:sz="8" w:space="0"/>
            </w:tcBorders>
            <w:vAlign w:val="center"/>
          </w:tcPr>
          <w:p>
            <w:pPr>
              <w:widowControl/>
              <w:jc w:val="center"/>
              <w:rPr>
                <w:rFonts w:ascii="宋体" w:cs="宋体"/>
                <w:color w:val="000000"/>
                <w:kern w:val="0"/>
                <w:sz w:val="20"/>
                <w:szCs w:val="20"/>
              </w:rPr>
            </w:pPr>
          </w:p>
        </w:tc>
      </w:tr>
      <w:tr>
        <w:tblPrEx>
          <w:tblLayout w:type="fixed"/>
          <w:tblCellMar>
            <w:top w:w="0" w:type="dxa"/>
            <w:left w:w="108" w:type="dxa"/>
            <w:bottom w:w="0" w:type="dxa"/>
            <w:right w:w="108" w:type="dxa"/>
          </w:tblCellMar>
        </w:tblPrEx>
        <w:trPr>
          <w:trHeight w:val="347" w:hRule="atLeast"/>
        </w:trPr>
        <w:tc>
          <w:tcPr>
            <w:tcW w:w="1560" w:type="dxa"/>
            <w:tcBorders>
              <w:top w:val="nil"/>
              <w:left w:val="single" w:color="auto" w:sz="8" w:space="0"/>
              <w:bottom w:val="single" w:color="auto" w:sz="8" w:space="0"/>
              <w:right w:val="single" w:color="auto" w:sz="8" w:space="0"/>
            </w:tcBorders>
            <w:vAlign w:val="center"/>
          </w:tcPr>
          <w:p>
            <w:pPr>
              <w:widowControl/>
              <w:jc w:val="center"/>
              <w:rPr>
                <w:rFonts w:ascii="宋体" w:cs="宋体"/>
                <w:b/>
                <w:color w:val="000000"/>
                <w:kern w:val="0"/>
                <w:sz w:val="20"/>
                <w:szCs w:val="20"/>
              </w:rPr>
            </w:pPr>
            <w:r>
              <w:rPr>
                <w:rFonts w:hint="eastAsia" w:ascii="宋体" w:cs="宋体"/>
                <w:b/>
                <w:color w:val="000000"/>
                <w:kern w:val="0"/>
                <w:sz w:val="20"/>
                <w:szCs w:val="20"/>
              </w:rPr>
              <w:t>合计</w:t>
            </w:r>
          </w:p>
        </w:tc>
        <w:tc>
          <w:tcPr>
            <w:tcW w:w="2126"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c>
          <w:tcPr>
            <w:tcW w:w="709" w:type="dxa"/>
            <w:tcBorders>
              <w:top w:val="single" w:color="auto" w:sz="8" w:space="0"/>
              <w:left w:val="single" w:color="auto" w:sz="8" w:space="0"/>
              <w:bottom w:val="single" w:color="auto" w:sz="8" w:space="0"/>
              <w:right w:val="single" w:color="auto" w:sz="8" w:space="0"/>
            </w:tcBorders>
            <w:vAlign w:val="center"/>
          </w:tcPr>
          <w:p>
            <w:pPr>
              <w:widowControl/>
              <w:jc w:val="center"/>
              <w:rPr>
                <w:rFonts w:cs="Calibri"/>
                <w:b/>
                <w:bCs/>
                <w:color w:val="000000"/>
                <w:kern w:val="0"/>
                <w:sz w:val="20"/>
                <w:szCs w:val="20"/>
              </w:rPr>
            </w:pPr>
            <w:r>
              <w:rPr>
                <w:rFonts w:cs="Calibri"/>
                <w:b/>
                <w:bCs/>
                <w:color w:val="000000"/>
                <w:kern w:val="0"/>
                <w:sz w:val="20"/>
                <w:szCs w:val="20"/>
              </w:rPr>
              <w:t>30</w:t>
            </w:r>
          </w:p>
        </w:tc>
        <w:tc>
          <w:tcPr>
            <w:tcW w:w="439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c>
          <w:tcPr>
            <w:tcW w:w="70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　</w:t>
            </w:r>
          </w:p>
        </w:tc>
      </w:tr>
    </w:tbl>
    <w:p>
      <w:pPr>
        <w:widowControl/>
        <w:jc w:val="left"/>
        <w:rPr>
          <w:rFonts w:ascii="方正小标宋简体" w:hAnsi="Arial" w:eastAsia="方正小标宋简体"/>
          <w:b/>
          <w:kern w:val="0"/>
          <w:sz w:val="44"/>
          <w:szCs w:val="20"/>
        </w:rPr>
      </w:pPr>
    </w:p>
    <w:p>
      <w:pPr>
        <w:rPr>
          <w:rFonts w:ascii="方正小标宋简体" w:hAnsi="Arial" w:eastAsia="方正小标宋简体"/>
          <w:b/>
          <w:kern w:val="0"/>
          <w:sz w:val="44"/>
          <w:szCs w:val="20"/>
        </w:rPr>
      </w:pPr>
      <w:r>
        <w:rPr>
          <w:rFonts w:hint="eastAsia" w:ascii="方正小标宋简体" w:hAnsi="Arial" w:eastAsia="方正小标宋简体"/>
          <w:b/>
          <w:kern w:val="0"/>
          <w:sz w:val="44"/>
          <w:szCs w:val="20"/>
        </w:rPr>
        <w:br w:type="page"/>
      </w:r>
    </w:p>
    <w:p>
      <w:pPr>
        <w:keepNext/>
        <w:keepLines/>
        <w:widowControl/>
        <w:spacing w:before="260" w:after="260" w:line="360" w:lineRule="auto"/>
        <w:jc w:val="center"/>
        <w:outlineLvl w:val="1"/>
        <w:rPr>
          <w:rFonts w:ascii="方正小标宋简体" w:hAnsi="Arial" w:eastAsia="方正小标宋简体"/>
          <w:b/>
          <w:kern w:val="0"/>
          <w:sz w:val="44"/>
          <w:szCs w:val="20"/>
        </w:rPr>
      </w:pPr>
      <w:r>
        <w:rPr>
          <w:rFonts w:hint="eastAsia" w:ascii="方正小标宋简体" w:hAnsi="Arial" w:eastAsia="方正小标宋简体"/>
          <w:b/>
          <w:kern w:val="0"/>
          <w:sz w:val="44"/>
          <w:szCs w:val="20"/>
        </w:rPr>
        <w:t>投标文件投标书部分格式</w:t>
      </w:r>
    </w:p>
    <w:p>
      <w:pPr>
        <w:keepNext/>
        <w:keepLines/>
        <w:widowControl/>
        <w:numPr>
          <w:ilvl w:val="2"/>
          <w:numId w:val="0"/>
        </w:numPr>
        <w:tabs>
          <w:tab w:val="left" w:pos="720"/>
        </w:tabs>
        <w:spacing w:before="120" w:after="120" w:line="360" w:lineRule="auto"/>
        <w:ind w:left="720" w:hanging="720"/>
        <w:jc w:val="center"/>
        <w:outlineLvl w:val="2"/>
        <w:rPr>
          <w:rFonts w:ascii="方正小标宋简体" w:hAnsi="Times New Roman" w:eastAsia="方正小标宋简体"/>
          <w:b/>
          <w:kern w:val="0"/>
          <w:sz w:val="36"/>
          <w:szCs w:val="20"/>
        </w:rPr>
      </w:pPr>
      <w:r>
        <w:rPr>
          <w:rFonts w:hint="eastAsia" w:ascii="方正小标宋简体" w:hAnsi="Times New Roman" w:eastAsia="方正小标宋简体"/>
          <w:b/>
          <w:kern w:val="0"/>
          <w:sz w:val="36"/>
          <w:szCs w:val="20"/>
        </w:rPr>
        <w:t>目录</w:t>
      </w:r>
    </w:p>
    <w:p>
      <w:pPr>
        <w:spacing w:line="360" w:lineRule="auto"/>
        <w:jc w:val="center"/>
        <w:rPr>
          <w:rFonts w:ascii="宋体"/>
          <w:b/>
          <w:sz w:val="48"/>
          <w:szCs w:val="24"/>
        </w:rPr>
      </w:pPr>
    </w:p>
    <w:p>
      <w:pPr>
        <w:spacing w:line="360" w:lineRule="auto"/>
        <w:rPr>
          <w:rFonts w:ascii="仿宋_GB2312" w:hAnsi="宋体" w:eastAsia="仿宋_GB2312"/>
          <w:sz w:val="32"/>
          <w:szCs w:val="32"/>
        </w:rPr>
      </w:pPr>
      <w:r>
        <w:rPr>
          <w:rFonts w:hint="eastAsia" w:ascii="仿宋_GB2312" w:hAnsi="宋体" w:eastAsia="仿宋_GB2312"/>
          <w:sz w:val="32"/>
          <w:szCs w:val="32"/>
        </w:rPr>
        <w:t xml:space="preserve"> 一、投标书（投标文件首页格式）</w:t>
      </w:r>
    </w:p>
    <w:p>
      <w:pPr>
        <w:spacing w:line="360" w:lineRule="auto"/>
        <w:rPr>
          <w:rFonts w:ascii="仿宋_GB2312" w:hAnsi="宋体" w:eastAsia="仿宋_GB2312"/>
          <w:sz w:val="32"/>
          <w:szCs w:val="32"/>
        </w:rPr>
      </w:pPr>
      <w:r>
        <w:rPr>
          <w:rFonts w:hint="eastAsia" w:ascii="仿宋_GB2312" w:hAnsi="宋体" w:eastAsia="仿宋_GB2312"/>
          <w:sz w:val="32"/>
          <w:szCs w:val="32"/>
        </w:rPr>
        <w:t>二、法定代表人身份证明书</w:t>
      </w:r>
    </w:p>
    <w:p>
      <w:pPr>
        <w:spacing w:line="360" w:lineRule="auto"/>
        <w:rPr>
          <w:rFonts w:ascii="仿宋_GB2312" w:hAnsi="宋体" w:eastAsia="仿宋_GB2312"/>
          <w:sz w:val="32"/>
          <w:szCs w:val="32"/>
        </w:rPr>
      </w:pPr>
      <w:r>
        <w:rPr>
          <w:rFonts w:hint="eastAsia" w:ascii="仿宋_GB2312" w:hAnsi="宋体" w:eastAsia="仿宋_GB2312"/>
          <w:sz w:val="32"/>
          <w:szCs w:val="32"/>
        </w:rPr>
        <w:t>三、投标文件签署授权委托书</w:t>
      </w:r>
    </w:p>
    <w:p>
      <w:pPr>
        <w:spacing w:line="360" w:lineRule="auto"/>
        <w:rPr>
          <w:rFonts w:ascii="仿宋_GB2312" w:hAnsi="宋体" w:eastAsia="仿宋_GB2312"/>
          <w:sz w:val="32"/>
          <w:szCs w:val="32"/>
        </w:rPr>
      </w:pPr>
      <w:r>
        <w:rPr>
          <w:rFonts w:hint="eastAsia" w:ascii="仿宋_GB2312" w:hAnsi="宋体" w:eastAsia="仿宋_GB2312"/>
          <w:sz w:val="32"/>
          <w:szCs w:val="32"/>
        </w:rPr>
        <w:t>四、投标人提交的其他投标资料</w:t>
      </w: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keepNext/>
        <w:keepLines/>
        <w:widowControl/>
        <w:spacing w:before="120" w:after="120" w:line="300" w:lineRule="atLeast"/>
        <w:jc w:val="center"/>
        <w:outlineLvl w:val="2"/>
        <w:rPr>
          <w:rFonts w:ascii="方正小标宋简体" w:hAnsi="Times New Roman" w:eastAsia="方正小标宋简体"/>
          <w:b/>
          <w:kern w:val="0"/>
          <w:sz w:val="36"/>
          <w:szCs w:val="20"/>
        </w:rPr>
      </w:pPr>
      <w:r>
        <w:rPr>
          <w:rFonts w:hint="eastAsia" w:ascii="方正小标宋简体" w:hAnsi="Times New Roman" w:eastAsia="方正小标宋简体"/>
          <w:b/>
          <w:kern w:val="0"/>
          <w:sz w:val="36"/>
          <w:szCs w:val="20"/>
        </w:rPr>
        <w:t>一、投标书</w:t>
      </w:r>
    </w:p>
    <w:p>
      <w:pPr>
        <w:spacing w:line="300" w:lineRule="atLeast"/>
        <w:jc w:val="center"/>
        <w:rPr>
          <w:rFonts w:ascii="方正小标宋简体" w:hAnsi="Times New Roman" w:eastAsia="方正小标宋简体"/>
          <w:b/>
          <w:sz w:val="32"/>
          <w:szCs w:val="24"/>
        </w:rPr>
      </w:pPr>
      <w:r>
        <w:rPr>
          <w:rFonts w:hint="eastAsia" w:ascii="方正小标宋简体" w:hAnsi="Times New Roman" w:eastAsia="方正小标宋简体"/>
          <w:b/>
          <w:sz w:val="32"/>
          <w:szCs w:val="24"/>
        </w:rPr>
        <w:t>杭州空港产学研服务有限公司有关资金存放开户银行</w:t>
      </w:r>
    </w:p>
    <w:p>
      <w:pPr>
        <w:widowControl/>
        <w:spacing w:line="300" w:lineRule="atLeast"/>
        <w:ind w:firstLine="420"/>
        <w:jc w:val="center"/>
        <w:rPr>
          <w:rFonts w:ascii="Times New Roman" w:hAnsi="Times New Roman"/>
          <w:b/>
          <w:bCs/>
          <w:kern w:val="0"/>
          <w:sz w:val="36"/>
          <w:szCs w:val="20"/>
        </w:rPr>
      </w:pPr>
      <w:r>
        <w:rPr>
          <w:rFonts w:hint="eastAsia" w:ascii="Times New Roman" w:hAnsi="Times New Roman"/>
          <w:b/>
          <w:bCs/>
          <w:kern w:val="0"/>
          <w:sz w:val="36"/>
          <w:szCs w:val="20"/>
        </w:rPr>
        <w:t>投标函</w:t>
      </w:r>
    </w:p>
    <w:p>
      <w:pPr>
        <w:widowControl/>
        <w:ind w:firstLine="420"/>
        <w:jc w:val="left"/>
        <w:rPr>
          <w:rFonts w:ascii="仿宋_GB2312" w:hAnsi="Times New Roman" w:eastAsia="仿宋_GB2312"/>
          <w:sz w:val="24"/>
          <w:szCs w:val="24"/>
        </w:rPr>
      </w:pPr>
      <w:r>
        <w:rPr>
          <w:rFonts w:hint="eastAsia" w:ascii="仿宋_GB2312" w:hAnsi="Times New Roman" w:eastAsia="仿宋_GB2312"/>
          <w:sz w:val="24"/>
          <w:szCs w:val="24"/>
        </w:rPr>
        <w:t>杭州空港产学研服务有限公司：</w:t>
      </w:r>
    </w:p>
    <w:p>
      <w:pPr>
        <w:autoSpaceDE w:val="0"/>
        <w:autoSpaceDN w:val="0"/>
        <w:adjustRightInd w:val="0"/>
        <w:spacing w:line="360" w:lineRule="auto"/>
        <w:ind w:firstLine="471"/>
        <w:rPr>
          <w:rFonts w:ascii="仿宋_GB2312" w:hAnsi="Times New Roman" w:eastAsia="仿宋_GB2312"/>
          <w:sz w:val="24"/>
          <w:szCs w:val="24"/>
        </w:rPr>
      </w:pPr>
      <w:r>
        <w:rPr>
          <w:rFonts w:hint="eastAsia" w:ascii="仿宋_GB2312" w:hAnsi="Times New Roman" w:eastAsia="仿宋_GB2312"/>
          <w:sz w:val="24"/>
          <w:szCs w:val="24"/>
        </w:rPr>
        <w:t>我方全面阅读和研究了</w:t>
      </w:r>
      <w:r>
        <w:rPr>
          <w:rFonts w:hint="eastAsia" w:ascii="仿宋_GB2312" w:hAnsi="Times New Roman" w:eastAsia="仿宋_GB2312"/>
          <w:sz w:val="24"/>
          <w:szCs w:val="24"/>
          <w:u w:val="single"/>
        </w:rPr>
        <w:t>杭州空港产学研服务有限公司有关资金存放开户银行招标文件</w:t>
      </w:r>
      <w:r>
        <w:rPr>
          <w:rFonts w:hint="eastAsia" w:ascii="仿宋_GB2312" w:hAnsi="Times New Roman" w:eastAsia="仿宋_GB2312"/>
          <w:sz w:val="24"/>
          <w:szCs w:val="24"/>
        </w:rPr>
        <w:t>，已充分理解并掌握了本项目招标的全部有关情况，同意接受招标文件的全部内容和条件，并按此确定资金存放投标的要约内容，以本投标书向你方发布的</w:t>
      </w:r>
      <w:r>
        <w:rPr>
          <w:rFonts w:hint="eastAsia" w:ascii="仿宋_GB2312" w:hAnsi="Times New Roman" w:eastAsia="仿宋_GB2312"/>
          <w:sz w:val="24"/>
          <w:szCs w:val="24"/>
          <w:u w:val="single"/>
        </w:rPr>
        <w:t>杭州空港产学研服务有限公司有关资金存放开户银行招标文件</w:t>
      </w:r>
      <w:r>
        <w:rPr>
          <w:rFonts w:hint="eastAsia" w:ascii="仿宋_GB2312" w:hAnsi="Times New Roman" w:eastAsia="仿宋_GB2312"/>
          <w:sz w:val="24"/>
          <w:szCs w:val="24"/>
        </w:rPr>
        <w:t>标段的全部内容进行投标。</w:t>
      </w:r>
    </w:p>
    <w:p>
      <w:pPr>
        <w:autoSpaceDE w:val="0"/>
        <w:autoSpaceDN w:val="0"/>
        <w:adjustRightInd w:val="0"/>
        <w:spacing w:line="360" w:lineRule="auto"/>
        <w:ind w:firstLine="471"/>
        <w:rPr>
          <w:rFonts w:ascii="仿宋_GB2312" w:hAnsi="Times New Roman" w:eastAsia="仿宋_GB2312"/>
          <w:sz w:val="24"/>
          <w:szCs w:val="24"/>
        </w:rPr>
      </w:pPr>
      <w:r>
        <w:rPr>
          <w:rFonts w:hint="eastAsia" w:ascii="仿宋_GB2312" w:hAnsi="Times New Roman" w:eastAsia="仿宋_GB2312"/>
          <w:sz w:val="24"/>
          <w:szCs w:val="24"/>
        </w:rPr>
        <w:t>（1）存款利率报价：</w:t>
      </w:r>
    </w:p>
    <w:p>
      <w:pPr>
        <w:autoSpaceDE w:val="0"/>
        <w:autoSpaceDN w:val="0"/>
        <w:adjustRightInd w:val="0"/>
        <w:spacing w:line="360" w:lineRule="auto"/>
        <w:ind w:firstLine="471"/>
        <w:rPr>
          <w:rFonts w:ascii="仿宋_GB2312" w:hAnsi="Times New Roman" w:eastAsia="仿宋_GB2312"/>
          <w:sz w:val="24"/>
          <w:szCs w:val="24"/>
        </w:rPr>
      </w:pPr>
      <w:r>
        <w:rPr>
          <w:rFonts w:hint="eastAsia" w:ascii="仿宋_GB2312" w:hAnsi="Times New Roman" w:eastAsia="仿宋_GB2312"/>
          <w:sz w:val="24"/>
          <w:szCs w:val="24"/>
        </w:rPr>
        <w:t>活期存款，我行承诺提供人民银行最新公布的金融机构人民币存款基准利率上浮</w:t>
      </w:r>
      <w:r>
        <w:rPr>
          <w:rFonts w:hint="eastAsia" w:ascii="仿宋_GB2312" w:eastAsia="仿宋_GB2312"/>
          <w:sz w:val="24"/>
        </w:rPr>
        <w:t>（或下浮）：</w:t>
      </w:r>
      <w:r>
        <w:rPr>
          <w:rFonts w:hint="eastAsia" w:ascii="仿宋_GB2312" w:hAnsi="Times New Roman" w:eastAsia="仿宋_GB2312"/>
          <w:sz w:val="24"/>
          <w:szCs w:val="24"/>
        </w:rPr>
        <w:t>；</w:t>
      </w:r>
    </w:p>
    <w:p>
      <w:pPr>
        <w:autoSpaceDE w:val="0"/>
        <w:autoSpaceDN w:val="0"/>
        <w:adjustRightInd w:val="0"/>
        <w:spacing w:line="360" w:lineRule="auto"/>
        <w:ind w:firstLine="471"/>
        <w:rPr>
          <w:rFonts w:ascii="仿宋_GB2312" w:hAnsi="Times New Roman" w:eastAsia="仿宋_GB2312"/>
          <w:sz w:val="24"/>
          <w:szCs w:val="24"/>
        </w:rPr>
      </w:pPr>
      <w:r>
        <w:rPr>
          <w:rFonts w:hint="eastAsia" w:ascii="仿宋_GB2312" w:hAnsi="Times New Roman" w:eastAsia="仿宋_GB2312"/>
          <w:sz w:val="24"/>
          <w:szCs w:val="24"/>
        </w:rPr>
        <w:t>协定存款，我行承诺提供人民银行最新公布的金融机构人民币存款基准利率上浮</w:t>
      </w:r>
      <w:r>
        <w:rPr>
          <w:rFonts w:hint="eastAsia" w:ascii="仿宋_GB2312" w:eastAsia="仿宋_GB2312"/>
          <w:sz w:val="24"/>
        </w:rPr>
        <w:t>（或下浮）：</w:t>
      </w:r>
      <w:r>
        <w:rPr>
          <w:rFonts w:hint="eastAsia" w:ascii="仿宋_GB2312" w:hAnsi="Times New Roman" w:eastAsia="仿宋_GB2312"/>
          <w:sz w:val="24"/>
          <w:szCs w:val="24"/>
        </w:rPr>
        <w:t>，账户的基本额度（协定存款起存点）：；</w:t>
      </w:r>
    </w:p>
    <w:p>
      <w:pPr>
        <w:autoSpaceDE w:val="0"/>
        <w:autoSpaceDN w:val="0"/>
        <w:adjustRightInd w:val="0"/>
        <w:spacing w:line="360" w:lineRule="auto"/>
        <w:ind w:firstLine="471"/>
        <w:rPr>
          <w:rFonts w:ascii="仿宋_GB2312" w:hAnsi="Times New Roman" w:eastAsia="仿宋_GB2312"/>
          <w:sz w:val="24"/>
          <w:szCs w:val="24"/>
        </w:rPr>
      </w:pPr>
      <w:r>
        <w:rPr>
          <w:rFonts w:hint="eastAsia" w:ascii="仿宋_GB2312" w:hAnsi="Times New Roman" w:eastAsia="仿宋_GB2312"/>
          <w:sz w:val="24"/>
          <w:szCs w:val="24"/>
        </w:rPr>
        <w:t>大额存单，我行承诺提供人民银行最新公布的金融机构人民币存款基准利率上浮</w:t>
      </w:r>
      <w:r>
        <w:rPr>
          <w:rFonts w:hint="eastAsia" w:ascii="仿宋_GB2312" w:eastAsia="仿宋_GB2312"/>
          <w:sz w:val="24"/>
        </w:rPr>
        <w:t>（或下浮）：</w:t>
      </w:r>
      <w:r>
        <w:rPr>
          <w:rFonts w:ascii="仿宋_GB2312" w:hAnsi="Times New Roman" w:eastAsia="仿宋_GB2312"/>
          <w:sz w:val="24"/>
          <w:szCs w:val="24"/>
        </w:rPr>
        <w:t>；</w:t>
      </w:r>
    </w:p>
    <w:p>
      <w:pPr>
        <w:autoSpaceDE w:val="0"/>
        <w:autoSpaceDN w:val="0"/>
        <w:adjustRightInd w:val="0"/>
        <w:spacing w:line="360" w:lineRule="auto"/>
        <w:ind w:firstLine="471"/>
        <w:rPr>
          <w:rFonts w:ascii="仿宋_GB2312" w:hAnsi="Times New Roman" w:eastAsia="仿宋_GB2312"/>
          <w:sz w:val="24"/>
          <w:szCs w:val="24"/>
        </w:rPr>
      </w:pPr>
      <w:r>
        <w:rPr>
          <w:rFonts w:hint="eastAsia" w:ascii="仿宋_GB2312" w:hAnsi="Times New Roman" w:eastAsia="仿宋_GB2312"/>
          <w:sz w:val="24"/>
          <w:szCs w:val="24"/>
        </w:rPr>
        <w:t>普通定期存款，我行承诺提供人民银行最新公布的金融机构人民币存款基准利率上浮</w:t>
      </w:r>
      <w:r>
        <w:rPr>
          <w:rFonts w:hint="eastAsia" w:ascii="仿宋_GB2312" w:eastAsia="仿宋_GB2312"/>
          <w:sz w:val="24"/>
        </w:rPr>
        <w:t>（或下浮）：</w:t>
      </w:r>
      <w:r>
        <w:rPr>
          <w:rFonts w:ascii="仿宋_GB2312" w:hAnsi="Times New Roman" w:eastAsia="仿宋_GB2312"/>
          <w:sz w:val="24"/>
          <w:szCs w:val="24"/>
        </w:rPr>
        <w:t>；</w:t>
      </w:r>
    </w:p>
    <w:p>
      <w:pPr>
        <w:autoSpaceDE w:val="0"/>
        <w:autoSpaceDN w:val="0"/>
        <w:adjustRightInd w:val="0"/>
        <w:spacing w:line="360" w:lineRule="auto"/>
        <w:ind w:firstLine="471"/>
        <w:rPr>
          <w:rFonts w:ascii="仿宋_GB2312" w:hAnsi="Times New Roman" w:eastAsia="仿宋_GB2312"/>
          <w:sz w:val="24"/>
          <w:szCs w:val="24"/>
        </w:rPr>
      </w:pPr>
      <w:r>
        <w:rPr>
          <w:rFonts w:hint="eastAsia" w:ascii="仿宋_GB2312" w:hAnsi="Times New Roman" w:eastAsia="仿宋_GB2312"/>
          <w:sz w:val="24"/>
          <w:szCs w:val="24"/>
        </w:rPr>
        <w:t>是否能提供分档计息存款：；</w:t>
      </w:r>
    </w:p>
    <w:p>
      <w:pPr>
        <w:autoSpaceDE w:val="0"/>
        <w:autoSpaceDN w:val="0"/>
        <w:adjustRightInd w:val="0"/>
        <w:spacing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如遇政策调整，我行承诺的利率调整政策为：</w:t>
      </w:r>
    </w:p>
    <w:p>
      <w:pPr>
        <w:autoSpaceDE w:val="0"/>
        <w:autoSpaceDN w:val="0"/>
        <w:adjustRightInd w:val="0"/>
        <w:spacing w:line="360" w:lineRule="auto"/>
        <w:rPr>
          <w:rFonts w:ascii="仿宋_GB2312" w:hAnsi="Times New Roman" w:eastAsia="仿宋_GB2312"/>
          <w:sz w:val="24"/>
          <w:szCs w:val="24"/>
        </w:rPr>
      </w:pPr>
      <w:r>
        <w:rPr>
          <w:rFonts w:hint="eastAsia" w:ascii="仿宋_GB2312" w:hAnsi="Times New Roman" w:eastAsia="仿宋_GB2312"/>
          <w:sz w:val="24"/>
          <w:szCs w:val="24"/>
        </w:rPr>
        <w:t>。</w:t>
      </w:r>
    </w:p>
    <w:p>
      <w:pPr>
        <w:autoSpaceDE w:val="0"/>
        <w:autoSpaceDN w:val="0"/>
        <w:adjustRightInd w:val="0"/>
        <w:spacing w:line="360" w:lineRule="auto"/>
        <w:ind w:firstLine="471"/>
        <w:rPr>
          <w:rFonts w:ascii="仿宋_GB2312" w:hAnsi="Times New Roman" w:eastAsia="仿宋_GB2312"/>
          <w:sz w:val="24"/>
          <w:szCs w:val="24"/>
        </w:rPr>
      </w:pPr>
      <w:r>
        <w:rPr>
          <w:rFonts w:hint="eastAsia" w:ascii="仿宋_GB2312" w:hAnsi="Times New Roman" w:eastAsia="仿宋_GB2312"/>
          <w:sz w:val="24"/>
          <w:szCs w:val="24"/>
        </w:rPr>
        <w:t>（2）投标有效期为日历天。</w:t>
      </w:r>
    </w:p>
    <w:p>
      <w:pPr>
        <w:autoSpaceDE w:val="0"/>
        <w:autoSpaceDN w:val="0"/>
        <w:adjustRightInd w:val="0"/>
        <w:spacing w:line="360" w:lineRule="auto"/>
        <w:ind w:firstLine="480"/>
        <w:rPr>
          <w:rFonts w:ascii="仿宋_GB2312" w:hAnsi="Times New Roman" w:eastAsia="仿宋_GB2312"/>
          <w:sz w:val="24"/>
          <w:szCs w:val="24"/>
        </w:rPr>
      </w:pPr>
      <w:r>
        <w:rPr>
          <w:rFonts w:hint="eastAsia" w:ascii="仿宋_GB2312" w:hAnsi="Times New Roman" w:eastAsia="仿宋_GB2312"/>
          <w:sz w:val="24"/>
          <w:szCs w:val="24"/>
        </w:rPr>
        <w:t>我方将严格按照有关招标投标法规及招标文件的规定参加投标，我方充分理解并接受贵方的评分办法，贵方对投标结果也没有解释义务。如由我方中标，我方保证在接到你方发出的中标通知书起</w:t>
      </w:r>
      <w:r>
        <w:rPr>
          <w:rFonts w:hint="eastAsia" w:ascii="仿宋_GB2312" w:hAnsi="Times New Roman" w:eastAsia="仿宋_GB2312"/>
          <w:sz w:val="24"/>
          <w:szCs w:val="24"/>
          <w:u w:val="single"/>
        </w:rPr>
        <w:t xml:space="preserve"> 15 </w:t>
      </w:r>
      <w:r>
        <w:rPr>
          <w:rFonts w:hint="eastAsia" w:ascii="仿宋_GB2312" w:hAnsi="Times New Roman" w:eastAsia="仿宋_GB2312"/>
          <w:sz w:val="24"/>
          <w:szCs w:val="24"/>
        </w:rPr>
        <w:t>天内，按中标通知书、招标文件和本投标书的条件和内容与招标人签订资金存放委托协议书，提供资金存放配套金融服务。</w:t>
      </w:r>
    </w:p>
    <w:p>
      <w:pPr>
        <w:autoSpaceDE w:val="0"/>
        <w:autoSpaceDN w:val="0"/>
        <w:adjustRightInd w:val="0"/>
        <w:spacing w:line="360" w:lineRule="auto"/>
        <w:ind w:firstLine="480"/>
        <w:rPr>
          <w:rFonts w:ascii="仿宋_GB2312" w:hAnsi="Times New Roman" w:eastAsia="仿宋_GB2312"/>
          <w:sz w:val="24"/>
          <w:szCs w:val="24"/>
        </w:rPr>
      </w:pPr>
      <w:r>
        <w:rPr>
          <w:rFonts w:hint="eastAsia" w:ascii="仿宋_GB2312" w:hAnsi="Times New Roman" w:eastAsia="仿宋_GB2312"/>
          <w:sz w:val="24"/>
          <w:szCs w:val="24"/>
        </w:rPr>
        <w:t>本投标书自递交你方之日起</w:t>
      </w:r>
      <w:r>
        <w:rPr>
          <w:rFonts w:ascii="仿宋_GB2312" w:hAnsi="Times New Roman" w:eastAsia="仿宋_GB2312"/>
          <w:sz w:val="24"/>
          <w:szCs w:val="24"/>
        </w:rPr>
        <w:t>90</w:t>
      </w:r>
      <w:r>
        <w:rPr>
          <w:rFonts w:hint="eastAsia" w:ascii="仿宋_GB2312" w:hAnsi="Times New Roman" w:eastAsia="仿宋_GB2312"/>
          <w:sz w:val="24"/>
          <w:szCs w:val="24"/>
        </w:rPr>
        <w:t>天内有效，在此有效期内，全部条款内容对我方具有约束力。</w:t>
      </w:r>
    </w:p>
    <w:p>
      <w:pPr>
        <w:autoSpaceDE w:val="0"/>
        <w:autoSpaceDN w:val="0"/>
        <w:adjustRightInd w:val="0"/>
        <w:spacing w:line="360" w:lineRule="auto"/>
        <w:ind w:firstLine="600" w:firstLineChars="250"/>
        <w:rPr>
          <w:rFonts w:ascii="仿宋_GB2312" w:hAnsi="Times New Roman" w:eastAsia="仿宋_GB2312"/>
          <w:sz w:val="24"/>
          <w:szCs w:val="24"/>
        </w:rPr>
      </w:pPr>
      <w:r>
        <w:rPr>
          <w:rFonts w:hint="eastAsia" w:ascii="仿宋_GB2312" w:hAnsi="Times New Roman" w:eastAsia="仿宋_GB2312"/>
          <w:sz w:val="24"/>
          <w:szCs w:val="24"/>
        </w:rPr>
        <w:t>联系地址：邮编：</w:t>
      </w:r>
    </w:p>
    <w:p>
      <w:pPr>
        <w:autoSpaceDE w:val="0"/>
        <w:autoSpaceDN w:val="0"/>
        <w:adjustRightInd w:val="0"/>
        <w:spacing w:line="360" w:lineRule="auto"/>
        <w:ind w:firstLine="600" w:firstLineChars="250"/>
        <w:rPr>
          <w:rFonts w:ascii="仿宋_GB2312" w:hAnsi="Times New Roman" w:eastAsia="仿宋_GB2312"/>
          <w:sz w:val="24"/>
          <w:szCs w:val="24"/>
        </w:rPr>
      </w:pPr>
      <w:r>
        <w:rPr>
          <w:rFonts w:hint="eastAsia" w:ascii="仿宋_GB2312" w:hAnsi="Times New Roman" w:eastAsia="仿宋_GB2312"/>
          <w:sz w:val="24"/>
          <w:szCs w:val="24"/>
        </w:rPr>
        <w:t>联系人：电话：</w:t>
      </w:r>
    </w:p>
    <w:p>
      <w:pPr>
        <w:autoSpaceDE w:val="0"/>
        <w:autoSpaceDN w:val="0"/>
        <w:adjustRightInd w:val="0"/>
        <w:spacing w:line="360" w:lineRule="auto"/>
        <w:ind w:firstLine="570"/>
        <w:rPr>
          <w:rFonts w:ascii="仿宋_GB2312" w:hAnsi="Times New Roman" w:eastAsia="仿宋_GB2312"/>
          <w:sz w:val="24"/>
          <w:szCs w:val="24"/>
        </w:rPr>
      </w:pPr>
      <w:r>
        <w:rPr>
          <w:rFonts w:hint="eastAsia" w:ascii="仿宋_GB2312" w:hAnsi="Times New Roman" w:eastAsia="仿宋_GB2312"/>
          <w:sz w:val="24"/>
          <w:szCs w:val="24"/>
        </w:rPr>
        <w:t>开户银行：银行帐号：</w:t>
      </w:r>
    </w:p>
    <w:p>
      <w:pPr>
        <w:autoSpaceDE w:val="0"/>
        <w:autoSpaceDN w:val="0"/>
        <w:adjustRightInd w:val="0"/>
        <w:spacing w:line="360" w:lineRule="auto"/>
        <w:ind w:firstLine="600" w:firstLineChars="250"/>
        <w:rPr>
          <w:rFonts w:ascii="仿宋_GB2312" w:hAnsi="Times New Roman" w:eastAsia="仿宋_GB2312"/>
          <w:sz w:val="24"/>
          <w:szCs w:val="24"/>
        </w:rPr>
      </w:pPr>
      <w:r>
        <w:rPr>
          <w:rFonts w:hint="eastAsia" w:ascii="仿宋_GB2312" w:hAnsi="Times New Roman" w:eastAsia="仿宋_GB2312"/>
          <w:sz w:val="24"/>
          <w:szCs w:val="24"/>
        </w:rPr>
        <w:t>投标单位：</w:t>
      </w:r>
      <w:r>
        <w:rPr>
          <w:rFonts w:ascii="仿宋_GB2312" w:hAnsi="Times New Roman" w:eastAsia="仿宋_GB2312"/>
          <w:sz w:val="24"/>
          <w:szCs w:val="24"/>
        </w:rPr>
        <w:t>(</w:t>
      </w:r>
      <w:r>
        <w:rPr>
          <w:rFonts w:hint="eastAsia" w:ascii="仿宋_GB2312" w:hAnsi="Times New Roman" w:eastAsia="仿宋_GB2312"/>
          <w:sz w:val="24"/>
          <w:szCs w:val="24"/>
        </w:rPr>
        <w:t>盖章</w:t>
      </w:r>
      <w:r>
        <w:rPr>
          <w:rFonts w:ascii="仿宋_GB2312" w:hAnsi="Times New Roman" w:eastAsia="仿宋_GB2312"/>
          <w:sz w:val="24"/>
          <w:szCs w:val="24"/>
        </w:rPr>
        <w:t xml:space="preserve">)                </w:t>
      </w:r>
      <w:r>
        <w:rPr>
          <w:rFonts w:hint="eastAsia" w:ascii="仿宋_GB2312" w:hAnsi="Times New Roman" w:eastAsia="仿宋_GB2312"/>
          <w:sz w:val="24"/>
          <w:szCs w:val="24"/>
        </w:rPr>
        <w:t>法定代表人或授权代表</w:t>
      </w:r>
      <w:r>
        <w:rPr>
          <w:rFonts w:ascii="仿宋_GB2312" w:hAnsi="Times New Roman" w:eastAsia="仿宋_GB2312"/>
          <w:sz w:val="24"/>
          <w:szCs w:val="24"/>
        </w:rPr>
        <w:t>(</w:t>
      </w:r>
      <w:r>
        <w:rPr>
          <w:rFonts w:hint="eastAsia" w:ascii="仿宋_GB2312" w:hAnsi="Times New Roman" w:eastAsia="仿宋_GB2312"/>
          <w:sz w:val="24"/>
          <w:szCs w:val="24"/>
        </w:rPr>
        <w:t>签字或盖章</w:t>
      </w:r>
      <w:r>
        <w:rPr>
          <w:rFonts w:ascii="仿宋_GB2312" w:hAnsi="Times New Roman" w:eastAsia="仿宋_GB2312"/>
          <w:sz w:val="24"/>
          <w:szCs w:val="24"/>
        </w:rPr>
        <w:t>)</w:t>
      </w:r>
      <w:r>
        <w:rPr>
          <w:rFonts w:hint="eastAsia" w:ascii="仿宋_GB2312" w:hAnsi="Times New Roman" w:eastAsia="仿宋_GB2312"/>
          <w:sz w:val="24"/>
          <w:szCs w:val="24"/>
        </w:rPr>
        <w:t>：</w:t>
      </w:r>
    </w:p>
    <w:p>
      <w:pPr>
        <w:autoSpaceDE w:val="0"/>
        <w:autoSpaceDN w:val="0"/>
        <w:adjustRightInd w:val="0"/>
        <w:spacing w:line="360" w:lineRule="auto"/>
        <w:ind w:firstLine="600" w:firstLineChars="250"/>
        <w:rPr>
          <w:rFonts w:ascii="仿宋_GB2312" w:hAnsi="Times New Roman" w:eastAsia="仿宋_GB2312"/>
          <w:sz w:val="24"/>
          <w:szCs w:val="24"/>
        </w:rPr>
      </w:pPr>
    </w:p>
    <w:p>
      <w:pPr>
        <w:autoSpaceDE w:val="0"/>
        <w:autoSpaceDN w:val="0"/>
        <w:adjustRightInd w:val="0"/>
        <w:spacing w:line="360" w:lineRule="auto"/>
        <w:rPr>
          <w:rFonts w:ascii="仿宋_GB2312" w:hAnsi="Times New Roman" w:eastAsia="仿宋_GB2312"/>
          <w:sz w:val="24"/>
          <w:szCs w:val="24"/>
        </w:rPr>
      </w:pPr>
      <w:r>
        <w:rPr>
          <w:rFonts w:hint="eastAsia" w:ascii="仿宋_GB2312" w:hAnsi="Times New Roman" w:eastAsia="仿宋_GB2312"/>
          <w:sz w:val="24"/>
          <w:szCs w:val="24"/>
        </w:rPr>
        <w:t>年月日</w:t>
      </w: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autoSpaceDE w:val="0"/>
        <w:autoSpaceDN w:val="0"/>
        <w:adjustRightInd w:val="0"/>
        <w:spacing w:line="360" w:lineRule="auto"/>
        <w:rPr>
          <w:rFonts w:ascii="方正小标宋简体" w:hAnsi="Times New Roman" w:eastAsia="方正小标宋简体"/>
          <w:b/>
          <w:sz w:val="18"/>
          <w:szCs w:val="18"/>
        </w:rPr>
      </w:pPr>
    </w:p>
    <w:p>
      <w:pPr>
        <w:keepNext/>
        <w:keepLines/>
        <w:widowControl/>
        <w:spacing w:before="120" w:after="120" w:line="360" w:lineRule="auto"/>
        <w:jc w:val="center"/>
        <w:outlineLvl w:val="2"/>
        <w:rPr>
          <w:rFonts w:ascii="方正小标宋简体" w:hAnsi="Times New Roman" w:eastAsia="方正小标宋简体"/>
          <w:b/>
          <w:kern w:val="0"/>
          <w:sz w:val="36"/>
          <w:szCs w:val="20"/>
        </w:rPr>
      </w:pPr>
      <w:r>
        <w:rPr>
          <w:rFonts w:hint="eastAsia" w:ascii="方正小标宋简体" w:hAnsi="Times New Roman" w:eastAsia="方正小标宋简体"/>
          <w:b/>
          <w:kern w:val="0"/>
          <w:sz w:val="36"/>
          <w:szCs w:val="20"/>
        </w:rPr>
        <w:t>二、法定代表人身份证明书</w:t>
      </w:r>
    </w:p>
    <w:p>
      <w:pPr>
        <w:spacing w:line="360" w:lineRule="auto"/>
        <w:rPr>
          <w:rFonts w:ascii="宋体"/>
          <w:b/>
          <w:sz w:val="36"/>
          <w:szCs w:val="24"/>
        </w:rPr>
      </w:pPr>
    </w:p>
    <w:p>
      <w:pPr>
        <w:spacing w:line="360" w:lineRule="auto"/>
        <w:rPr>
          <w:rFonts w:ascii="宋体"/>
          <w:b/>
          <w:szCs w:val="24"/>
        </w:rPr>
      </w:pPr>
    </w:p>
    <w:p>
      <w:pPr>
        <w:spacing w:line="360" w:lineRule="auto"/>
        <w:ind w:firstLine="612"/>
        <w:rPr>
          <w:rFonts w:ascii="仿宋_GB2312" w:hAnsi="宋体" w:eastAsia="仿宋_GB2312"/>
          <w:sz w:val="24"/>
          <w:szCs w:val="24"/>
        </w:rPr>
      </w:pPr>
      <w:r>
        <w:rPr>
          <w:rFonts w:hint="eastAsia" w:ascii="仿宋_GB2312" w:hAnsi="宋体" w:eastAsia="仿宋_GB2312"/>
          <w:sz w:val="24"/>
          <w:szCs w:val="24"/>
        </w:rPr>
        <w:t>单位名称：</w:t>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p>
    <w:p>
      <w:pPr>
        <w:spacing w:line="360" w:lineRule="auto"/>
        <w:ind w:firstLine="612"/>
        <w:rPr>
          <w:rFonts w:ascii="仿宋_GB2312" w:hAnsi="宋体" w:eastAsia="仿宋_GB2312"/>
          <w:sz w:val="24"/>
          <w:szCs w:val="24"/>
        </w:rPr>
      </w:pPr>
    </w:p>
    <w:p>
      <w:pPr>
        <w:spacing w:line="360" w:lineRule="auto"/>
        <w:ind w:firstLine="610"/>
        <w:rPr>
          <w:rFonts w:ascii="仿宋_GB2312" w:hAnsi="宋体" w:eastAsia="仿宋_GB2312"/>
          <w:sz w:val="24"/>
          <w:szCs w:val="24"/>
          <w:u w:val="single"/>
        </w:rPr>
      </w:pPr>
      <w:r>
        <w:rPr>
          <w:rFonts w:hint="eastAsia" w:ascii="仿宋_GB2312" w:hAnsi="宋体" w:eastAsia="仿宋_GB2312"/>
          <w:sz w:val="24"/>
          <w:szCs w:val="24"/>
        </w:rPr>
        <w:t>单位性质：</w:t>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p>
    <w:p>
      <w:pPr>
        <w:spacing w:line="360" w:lineRule="auto"/>
        <w:ind w:firstLine="610"/>
        <w:rPr>
          <w:rFonts w:ascii="仿宋_GB2312" w:hAnsi="宋体" w:eastAsia="仿宋_GB2312"/>
          <w:sz w:val="24"/>
          <w:szCs w:val="24"/>
        </w:rPr>
      </w:pPr>
    </w:p>
    <w:p>
      <w:pPr>
        <w:spacing w:line="360" w:lineRule="auto"/>
        <w:ind w:firstLine="610"/>
        <w:rPr>
          <w:rFonts w:ascii="仿宋_GB2312" w:hAnsi="宋体" w:eastAsia="仿宋_GB2312"/>
          <w:sz w:val="24"/>
          <w:szCs w:val="24"/>
          <w:u w:val="single"/>
        </w:rPr>
      </w:pPr>
      <w:r>
        <w:rPr>
          <w:rFonts w:hint="eastAsia" w:ascii="仿宋_GB2312" w:hAnsi="宋体" w:eastAsia="仿宋_GB2312"/>
          <w:sz w:val="24"/>
          <w:szCs w:val="24"/>
        </w:rPr>
        <w:t>地址：</w:t>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r>
        <w:rPr>
          <w:rFonts w:ascii="仿宋_GB2312" w:hAnsi="宋体" w:eastAsia="仿宋_GB2312"/>
          <w:sz w:val="24"/>
          <w:szCs w:val="24"/>
          <w:u w:val="single"/>
        </w:rPr>
        <w:tab/>
      </w:r>
    </w:p>
    <w:p>
      <w:pPr>
        <w:spacing w:line="360" w:lineRule="auto"/>
        <w:ind w:firstLine="610"/>
        <w:rPr>
          <w:rFonts w:ascii="仿宋_GB2312" w:hAnsi="宋体" w:eastAsia="仿宋_GB2312"/>
          <w:sz w:val="24"/>
          <w:szCs w:val="24"/>
        </w:rPr>
      </w:pPr>
    </w:p>
    <w:p>
      <w:pPr>
        <w:spacing w:line="360" w:lineRule="auto"/>
        <w:ind w:firstLine="610"/>
        <w:rPr>
          <w:rFonts w:ascii="仿宋_GB2312" w:hAnsi="宋体" w:eastAsia="仿宋_GB2312"/>
          <w:sz w:val="24"/>
          <w:szCs w:val="24"/>
        </w:rPr>
      </w:pPr>
      <w:r>
        <w:rPr>
          <w:rFonts w:hint="eastAsia" w:ascii="仿宋_GB2312" w:hAnsi="宋体" w:eastAsia="仿宋_GB2312"/>
          <w:sz w:val="24"/>
          <w:szCs w:val="24"/>
        </w:rPr>
        <w:t>成立时间：年月日</w:t>
      </w:r>
    </w:p>
    <w:p>
      <w:pPr>
        <w:spacing w:line="360" w:lineRule="auto"/>
        <w:ind w:firstLine="610"/>
        <w:rPr>
          <w:rFonts w:ascii="仿宋_GB2312" w:hAnsi="宋体" w:eastAsia="仿宋_GB2312"/>
          <w:sz w:val="24"/>
          <w:szCs w:val="24"/>
        </w:rPr>
      </w:pPr>
    </w:p>
    <w:p>
      <w:pPr>
        <w:spacing w:line="360" w:lineRule="auto"/>
        <w:ind w:firstLine="610"/>
        <w:rPr>
          <w:rFonts w:ascii="仿宋_GB2312" w:hAnsi="宋体" w:eastAsia="仿宋_GB2312"/>
          <w:sz w:val="24"/>
          <w:szCs w:val="24"/>
          <w:u w:val="single"/>
        </w:rPr>
      </w:pPr>
      <w:r>
        <w:rPr>
          <w:rFonts w:hint="eastAsia" w:ascii="仿宋_GB2312" w:hAnsi="宋体" w:eastAsia="仿宋_GB2312"/>
          <w:sz w:val="24"/>
          <w:szCs w:val="24"/>
        </w:rPr>
        <w:t>经营期限：</w:t>
      </w:r>
      <w:r>
        <w:rPr>
          <w:rFonts w:ascii="仿宋_GB2312" w:hAnsi="宋体" w:eastAsia="仿宋_GB2312"/>
          <w:sz w:val="24"/>
          <w:szCs w:val="24"/>
          <w:u w:val="single"/>
        </w:rPr>
        <w:tab/>
      </w:r>
      <w:r>
        <w:rPr>
          <w:rFonts w:ascii="仿宋_GB2312" w:hAnsi="宋体" w:eastAsia="仿宋_GB2312"/>
          <w:sz w:val="24"/>
          <w:szCs w:val="24"/>
          <w:u w:val="single"/>
        </w:rPr>
        <w:tab/>
      </w:r>
    </w:p>
    <w:p>
      <w:pPr>
        <w:spacing w:line="360" w:lineRule="auto"/>
        <w:ind w:firstLine="610"/>
        <w:rPr>
          <w:rFonts w:ascii="仿宋_GB2312" w:hAnsi="宋体" w:eastAsia="仿宋_GB2312"/>
          <w:sz w:val="24"/>
          <w:szCs w:val="24"/>
        </w:rPr>
      </w:pPr>
    </w:p>
    <w:p>
      <w:pPr>
        <w:spacing w:line="360" w:lineRule="auto"/>
        <w:ind w:firstLine="610"/>
        <w:rPr>
          <w:rFonts w:ascii="仿宋_GB2312" w:hAnsi="宋体" w:eastAsia="仿宋_GB2312"/>
          <w:sz w:val="24"/>
          <w:szCs w:val="24"/>
          <w:u w:val="single"/>
        </w:rPr>
      </w:pPr>
      <w:r>
        <w:rPr>
          <w:rFonts w:hint="eastAsia" w:ascii="仿宋_GB2312" w:hAnsi="宋体" w:eastAsia="仿宋_GB2312"/>
          <w:sz w:val="24"/>
          <w:szCs w:val="24"/>
        </w:rPr>
        <w:t>姓名：性别：年龄：职务：</w:t>
      </w:r>
      <w:r>
        <w:rPr>
          <w:rFonts w:ascii="仿宋_GB2312" w:hAnsi="宋体" w:eastAsia="仿宋_GB2312"/>
          <w:sz w:val="24"/>
          <w:szCs w:val="24"/>
          <w:u w:val="single"/>
        </w:rPr>
        <w:tab/>
      </w:r>
      <w:r>
        <w:rPr>
          <w:rFonts w:ascii="仿宋_GB2312" w:hAnsi="宋体" w:eastAsia="仿宋_GB2312"/>
          <w:sz w:val="24"/>
          <w:szCs w:val="24"/>
          <w:u w:val="single"/>
        </w:rPr>
        <w:tab/>
      </w:r>
    </w:p>
    <w:p>
      <w:pPr>
        <w:spacing w:line="360" w:lineRule="auto"/>
        <w:ind w:firstLine="610"/>
        <w:rPr>
          <w:rFonts w:ascii="仿宋_GB2312" w:hAnsi="宋体" w:eastAsia="仿宋_GB2312"/>
          <w:sz w:val="24"/>
          <w:szCs w:val="24"/>
          <w:u w:val="single"/>
        </w:rPr>
      </w:pPr>
    </w:p>
    <w:p>
      <w:pPr>
        <w:spacing w:line="360" w:lineRule="auto"/>
        <w:ind w:left="609" w:leftChars="290"/>
        <w:rPr>
          <w:rFonts w:ascii="仿宋_GB2312" w:hAnsi="宋体" w:eastAsia="仿宋_GB2312"/>
          <w:sz w:val="24"/>
          <w:szCs w:val="24"/>
        </w:rPr>
      </w:pPr>
      <w:r>
        <w:rPr>
          <w:rFonts w:hint="eastAsia" w:ascii="仿宋_GB2312" w:hAnsi="宋体" w:eastAsia="仿宋_GB2312"/>
          <w:sz w:val="24"/>
          <w:szCs w:val="24"/>
        </w:rPr>
        <w:t>身份证号码系（投标人单位名称的法定代表人）。</w:t>
      </w:r>
    </w:p>
    <w:p>
      <w:pPr>
        <w:spacing w:line="360" w:lineRule="auto"/>
        <w:ind w:firstLine="610"/>
        <w:rPr>
          <w:rFonts w:ascii="仿宋_GB2312" w:hAnsi="宋体" w:eastAsia="仿宋_GB2312"/>
          <w:sz w:val="24"/>
          <w:szCs w:val="24"/>
          <w:u w:val="single"/>
        </w:rPr>
      </w:pPr>
    </w:p>
    <w:p>
      <w:pPr>
        <w:spacing w:line="360" w:lineRule="auto"/>
        <w:ind w:firstLine="2529" w:firstLineChars="1054"/>
        <w:rPr>
          <w:rFonts w:ascii="仿宋_GB2312" w:hAnsi="宋体" w:eastAsia="仿宋_GB2312"/>
          <w:sz w:val="24"/>
          <w:szCs w:val="24"/>
          <w:u w:val="single"/>
        </w:rPr>
      </w:pPr>
    </w:p>
    <w:p>
      <w:pPr>
        <w:spacing w:line="360" w:lineRule="auto"/>
        <w:ind w:firstLine="610"/>
        <w:rPr>
          <w:rFonts w:ascii="仿宋_GB2312" w:hAnsi="宋体" w:eastAsia="仿宋_GB2312"/>
          <w:sz w:val="24"/>
          <w:szCs w:val="24"/>
        </w:rPr>
      </w:pPr>
    </w:p>
    <w:p>
      <w:pPr>
        <w:spacing w:line="360" w:lineRule="auto"/>
        <w:ind w:firstLine="1329" w:firstLineChars="554"/>
        <w:rPr>
          <w:rFonts w:ascii="仿宋_GB2312" w:hAnsi="宋体" w:eastAsia="仿宋_GB2312"/>
          <w:sz w:val="24"/>
          <w:szCs w:val="24"/>
        </w:rPr>
      </w:pPr>
      <w:r>
        <w:rPr>
          <w:rFonts w:hint="eastAsia" w:ascii="仿宋_GB2312" w:hAnsi="宋体" w:eastAsia="仿宋_GB2312"/>
          <w:sz w:val="24"/>
          <w:szCs w:val="24"/>
        </w:rPr>
        <w:t>特此证明。</w:t>
      </w:r>
    </w:p>
    <w:p>
      <w:pPr>
        <w:tabs>
          <w:tab w:val="left" w:pos="720"/>
          <w:tab w:val="left" w:pos="900"/>
        </w:tabs>
        <w:spacing w:line="360" w:lineRule="auto"/>
        <w:ind w:firstLine="480" w:firstLineChars="200"/>
        <w:rPr>
          <w:rFonts w:ascii="仿宋_GB2312" w:hAnsi="宋体" w:eastAsia="仿宋_GB2312"/>
          <w:sz w:val="24"/>
          <w:szCs w:val="24"/>
        </w:rPr>
      </w:pPr>
    </w:p>
    <w:p>
      <w:pPr>
        <w:tabs>
          <w:tab w:val="left" w:pos="720"/>
          <w:tab w:val="left" w:pos="900"/>
        </w:tabs>
        <w:spacing w:line="360" w:lineRule="auto"/>
        <w:ind w:firstLine="480" w:firstLineChars="200"/>
        <w:rPr>
          <w:rFonts w:ascii="仿宋_GB2312" w:hAnsi="宋体" w:eastAsia="仿宋_GB2312"/>
          <w:sz w:val="24"/>
          <w:szCs w:val="24"/>
        </w:rPr>
      </w:pPr>
    </w:p>
    <w:p>
      <w:pPr>
        <w:tabs>
          <w:tab w:val="left" w:pos="720"/>
          <w:tab w:val="left" w:pos="900"/>
        </w:tabs>
        <w:spacing w:line="360" w:lineRule="auto"/>
        <w:ind w:firstLine="480" w:firstLineChars="200"/>
        <w:rPr>
          <w:rFonts w:ascii="仿宋_GB2312" w:hAnsi="宋体" w:eastAsia="仿宋_GB2312"/>
          <w:sz w:val="24"/>
          <w:szCs w:val="24"/>
        </w:rPr>
      </w:pPr>
    </w:p>
    <w:p>
      <w:pPr>
        <w:tabs>
          <w:tab w:val="left" w:pos="720"/>
          <w:tab w:val="left" w:pos="900"/>
        </w:tabs>
        <w:spacing w:line="360" w:lineRule="auto"/>
        <w:rPr>
          <w:rFonts w:ascii="仿宋_GB2312" w:hAnsi="宋体" w:eastAsia="仿宋_GB2312"/>
          <w:sz w:val="24"/>
          <w:szCs w:val="24"/>
        </w:rPr>
      </w:pPr>
    </w:p>
    <w:p>
      <w:pPr>
        <w:tabs>
          <w:tab w:val="left" w:pos="720"/>
          <w:tab w:val="left" w:pos="900"/>
        </w:tabs>
        <w:spacing w:line="360" w:lineRule="auto"/>
        <w:ind w:firstLine="4080" w:firstLineChars="1700"/>
        <w:rPr>
          <w:rFonts w:ascii="仿宋_GB2312" w:hAnsi="宋体" w:eastAsia="仿宋_GB2312"/>
          <w:sz w:val="24"/>
          <w:szCs w:val="24"/>
        </w:rPr>
      </w:pPr>
      <w:r>
        <w:rPr>
          <w:rFonts w:hint="eastAsia" w:ascii="仿宋_GB2312" w:hAnsi="宋体" w:eastAsia="仿宋_GB2312"/>
          <w:sz w:val="24"/>
          <w:szCs w:val="24"/>
        </w:rPr>
        <w:t>投标人：</w:t>
      </w:r>
      <w:r>
        <w:rPr>
          <w:rFonts w:hint="eastAsia" w:ascii="仿宋_GB2312" w:hAnsi="宋体" w:eastAsia="仿宋_GB2312"/>
          <w:sz w:val="24"/>
          <w:szCs w:val="24"/>
          <w:u w:val="single"/>
        </w:rPr>
        <w:t>（盖公章）</w:t>
      </w:r>
    </w:p>
    <w:p>
      <w:pPr>
        <w:tabs>
          <w:tab w:val="left" w:pos="720"/>
          <w:tab w:val="left" w:pos="900"/>
        </w:tabs>
        <w:spacing w:line="360" w:lineRule="auto"/>
        <w:ind w:firstLine="4080" w:firstLineChars="1700"/>
        <w:rPr>
          <w:rFonts w:ascii="仿宋_GB2312" w:hAnsi="Times New Roman" w:eastAsia="仿宋_GB2312"/>
          <w:szCs w:val="24"/>
        </w:rPr>
      </w:pPr>
      <w:r>
        <w:rPr>
          <w:rFonts w:hint="eastAsia" w:ascii="仿宋_GB2312" w:hAnsi="宋体" w:eastAsia="仿宋_GB2312"/>
          <w:sz w:val="24"/>
          <w:szCs w:val="24"/>
        </w:rPr>
        <w:t>日期：年月日</w:t>
      </w:r>
    </w:p>
    <w:p>
      <w:pPr>
        <w:spacing w:line="360" w:lineRule="auto"/>
        <w:jc w:val="center"/>
        <w:rPr>
          <w:rFonts w:ascii="仿宋_GB2312" w:hAnsi="Times New Roman" w:eastAsia="仿宋_GB2312"/>
          <w:szCs w:val="24"/>
        </w:rPr>
      </w:pPr>
      <w:r>
        <w:rPr>
          <w:rFonts w:ascii="仿宋_GB2312" w:hAnsi="Times New Roman" w:eastAsia="仿宋_GB2312"/>
          <w:szCs w:val="24"/>
        </w:rPr>
        <w:br w:type="page"/>
      </w:r>
      <w:r>
        <w:rPr>
          <w:rFonts w:hint="eastAsia" w:ascii="方正小标宋简体" w:hAnsi="Times New Roman" w:eastAsia="方正小标宋简体"/>
          <w:b/>
          <w:kern w:val="0"/>
          <w:sz w:val="36"/>
          <w:szCs w:val="20"/>
        </w:rPr>
        <w:t>三、投标文件签署授权委托书</w:t>
      </w:r>
    </w:p>
    <w:p>
      <w:pPr>
        <w:spacing w:after="156" w:line="360" w:lineRule="auto"/>
        <w:rPr>
          <w:rFonts w:ascii="宋体"/>
          <w:b/>
          <w:sz w:val="10"/>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本授权委托书声明：我（姓名）系</w:t>
      </w:r>
      <w:r>
        <w:rPr>
          <w:rFonts w:hint="eastAsia" w:ascii="仿宋_GB2312" w:hAnsi="宋体" w:eastAsia="仿宋_GB2312"/>
          <w:sz w:val="24"/>
          <w:szCs w:val="24"/>
          <w:u w:val="single"/>
        </w:rPr>
        <w:t>（投标人名称）</w:t>
      </w:r>
      <w:r>
        <w:rPr>
          <w:rFonts w:hint="eastAsia" w:ascii="仿宋_GB2312" w:hAnsi="宋体" w:eastAsia="仿宋_GB2312"/>
          <w:sz w:val="24"/>
          <w:szCs w:val="24"/>
        </w:rPr>
        <w:t>的法定代表人，现授权委托</w:t>
      </w:r>
      <w:r>
        <w:rPr>
          <w:rFonts w:hint="eastAsia" w:ascii="仿宋_GB2312" w:hAnsi="宋体" w:eastAsia="仿宋_GB2312"/>
          <w:sz w:val="24"/>
          <w:szCs w:val="24"/>
          <w:u w:val="single"/>
        </w:rPr>
        <w:t>（单位名称）</w:t>
      </w:r>
      <w:r>
        <w:rPr>
          <w:rFonts w:hint="eastAsia" w:ascii="仿宋_GB2312" w:hAnsi="宋体" w:eastAsia="仿宋_GB2312"/>
          <w:sz w:val="24"/>
          <w:szCs w:val="24"/>
        </w:rPr>
        <w:t>的</w:t>
      </w:r>
      <w:r>
        <w:rPr>
          <w:rFonts w:hint="eastAsia" w:ascii="仿宋_GB2312" w:hAnsi="宋体" w:eastAsia="仿宋_GB2312"/>
          <w:sz w:val="24"/>
          <w:szCs w:val="24"/>
          <w:u w:val="single"/>
        </w:rPr>
        <w:t>（姓名）</w:t>
      </w:r>
      <w:r>
        <w:rPr>
          <w:rFonts w:hint="eastAsia" w:ascii="仿宋_GB2312" w:hAnsi="宋体" w:eastAsia="仿宋_GB2312"/>
          <w:sz w:val="24"/>
          <w:szCs w:val="24"/>
        </w:rPr>
        <w:t>为我公司签署</w:t>
      </w:r>
      <w:r>
        <w:rPr>
          <w:rFonts w:hint="eastAsia" w:ascii="仿宋_GB2312" w:hAnsi="Times New Roman" w:eastAsia="仿宋_GB2312"/>
          <w:sz w:val="24"/>
          <w:szCs w:val="24"/>
          <w:u w:val="single"/>
        </w:rPr>
        <w:t>杭州空港产学研服务有限公司资金存放银行开户</w:t>
      </w:r>
      <w:r>
        <w:rPr>
          <w:rFonts w:hint="eastAsia" w:ascii="仿宋_GB2312" w:hAnsi="宋体" w:eastAsia="仿宋_GB2312"/>
          <w:sz w:val="24"/>
          <w:szCs w:val="24"/>
        </w:rPr>
        <w:t>项目投标文件的法定代表人授权委托代理人，我特此授权并承认代理人全权代表我签署投标文件及其它文件，参加开标、询标、商签合同以及处理与之有关的一切其它事务，我公司对于代理人前述行为及其产生的后果均予以确认。</w:t>
      </w:r>
    </w:p>
    <w:p>
      <w:pPr>
        <w:spacing w:line="360" w:lineRule="auto"/>
        <w:ind w:firstLine="610"/>
        <w:rPr>
          <w:rFonts w:ascii="仿宋_GB2312" w:hAnsi="宋体" w:eastAsia="仿宋_GB2312"/>
          <w:sz w:val="24"/>
          <w:szCs w:val="24"/>
        </w:rPr>
      </w:pPr>
    </w:p>
    <w:p>
      <w:pPr>
        <w:spacing w:line="360" w:lineRule="auto"/>
        <w:ind w:firstLine="697"/>
        <w:rPr>
          <w:rFonts w:ascii="仿宋_GB2312" w:hAnsi="宋体" w:eastAsia="仿宋_GB2312"/>
          <w:sz w:val="24"/>
          <w:szCs w:val="24"/>
        </w:rPr>
      </w:pPr>
      <w:r>
        <w:rPr>
          <w:rFonts w:hint="eastAsia" w:ascii="仿宋_GB2312" w:hAnsi="宋体" w:eastAsia="仿宋_GB2312"/>
          <w:sz w:val="24"/>
          <w:szCs w:val="24"/>
        </w:rPr>
        <w:t>代理人无转委托权，特此委托</w:t>
      </w:r>
    </w:p>
    <w:p>
      <w:pPr>
        <w:spacing w:line="360" w:lineRule="auto"/>
        <w:ind w:left="1260"/>
        <w:rPr>
          <w:rFonts w:ascii="仿宋_GB2312" w:hAnsi="宋体" w:eastAsia="仿宋_GB2312"/>
          <w:sz w:val="24"/>
          <w:szCs w:val="24"/>
        </w:rPr>
      </w:pPr>
    </w:p>
    <w:p>
      <w:pPr>
        <w:spacing w:line="360" w:lineRule="auto"/>
        <w:ind w:left="1260"/>
        <w:rPr>
          <w:rFonts w:ascii="仿宋_GB2312" w:hAnsi="宋体" w:eastAsia="仿宋_GB2312"/>
          <w:sz w:val="24"/>
          <w:szCs w:val="24"/>
        </w:rPr>
      </w:pPr>
    </w:p>
    <w:p>
      <w:pPr>
        <w:spacing w:line="360" w:lineRule="auto"/>
        <w:ind w:left="1260"/>
        <w:rPr>
          <w:rFonts w:ascii="仿宋_GB2312" w:hAnsi="宋体" w:eastAsia="仿宋_GB2312"/>
          <w:sz w:val="24"/>
          <w:szCs w:val="24"/>
        </w:rPr>
      </w:pPr>
    </w:p>
    <w:p>
      <w:pPr>
        <w:spacing w:line="360" w:lineRule="auto"/>
        <w:ind w:left="1260"/>
        <w:rPr>
          <w:rFonts w:ascii="仿宋_GB2312" w:hAnsi="宋体" w:eastAsia="仿宋_GB2312"/>
          <w:sz w:val="24"/>
          <w:szCs w:val="24"/>
        </w:rPr>
      </w:pPr>
    </w:p>
    <w:p>
      <w:pPr>
        <w:spacing w:line="360" w:lineRule="auto"/>
        <w:ind w:left="2100"/>
        <w:rPr>
          <w:rFonts w:ascii="仿宋_GB2312" w:hAnsi="宋体" w:eastAsia="仿宋_GB2312"/>
          <w:sz w:val="24"/>
          <w:szCs w:val="24"/>
          <w:u w:val="single"/>
        </w:rPr>
      </w:pPr>
      <w:r>
        <w:rPr>
          <w:rFonts w:hint="eastAsia" w:ascii="仿宋_GB2312" w:hAnsi="宋体" w:eastAsia="仿宋_GB2312"/>
          <w:sz w:val="24"/>
          <w:szCs w:val="24"/>
        </w:rPr>
        <w:t>代理人：</w:t>
      </w:r>
      <w:r>
        <w:rPr>
          <w:rFonts w:hint="eastAsia" w:ascii="仿宋_GB2312" w:hAnsi="宋体" w:eastAsia="仿宋_GB2312"/>
          <w:sz w:val="24"/>
          <w:szCs w:val="24"/>
          <w:u w:val="single"/>
        </w:rPr>
        <w:t>（签字）</w:t>
      </w:r>
      <w:r>
        <w:rPr>
          <w:rFonts w:hint="eastAsia" w:ascii="仿宋_GB2312" w:hAnsi="宋体" w:eastAsia="仿宋_GB2312"/>
          <w:sz w:val="24"/>
          <w:szCs w:val="24"/>
        </w:rPr>
        <w:t>性别：年龄：</w:t>
      </w:r>
      <w:r>
        <w:rPr>
          <w:rFonts w:ascii="仿宋_GB2312" w:hAnsi="宋体" w:eastAsia="仿宋_GB2312"/>
          <w:sz w:val="24"/>
          <w:szCs w:val="24"/>
        </w:rPr>
        <w:t>_______</w:t>
      </w:r>
    </w:p>
    <w:p>
      <w:pPr>
        <w:spacing w:line="360" w:lineRule="auto"/>
        <w:ind w:left="2699"/>
        <w:rPr>
          <w:rFonts w:ascii="仿宋_GB2312" w:hAnsi="宋体" w:eastAsia="仿宋_GB2312"/>
          <w:sz w:val="24"/>
          <w:szCs w:val="24"/>
        </w:rPr>
      </w:pPr>
    </w:p>
    <w:p>
      <w:pPr>
        <w:spacing w:line="360" w:lineRule="auto"/>
        <w:ind w:left="2100"/>
        <w:rPr>
          <w:rFonts w:ascii="仿宋_GB2312" w:hAnsi="宋体" w:eastAsia="仿宋_GB2312"/>
          <w:sz w:val="24"/>
          <w:szCs w:val="24"/>
          <w:u w:val="single"/>
        </w:rPr>
      </w:pPr>
      <w:r>
        <w:rPr>
          <w:rFonts w:hint="eastAsia" w:ascii="仿宋_GB2312" w:hAnsi="宋体" w:eastAsia="仿宋_GB2312"/>
          <w:sz w:val="24"/>
          <w:szCs w:val="24"/>
        </w:rPr>
        <w:t>身份证号码：职务：</w:t>
      </w:r>
      <w:r>
        <w:rPr>
          <w:rFonts w:ascii="仿宋_GB2312" w:hAnsi="宋体" w:eastAsia="仿宋_GB2312"/>
          <w:sz w:val="24"/>
          <w:szCs w:val="24"/>
          <w:u w:val="single"/>
        </w:rPr>
        <w:t xml:space="preserve">____        </w:t>
      </w:r>
    </w:p>
    <w:p>
      <w:pPr>
        <w:spacing w:line="360" w:lineRule="auto"/>
        <w:ind w:left="2699"/>
        <w:rPr>
          <w:rFonts w:ascii="仿宋_GB2312" w:hAnsi="宋体" w:eastAsia="仿宋_GB2312"/>
          <w:sz w:val="24"/>
          <w:szCs w:val="24"/>
        </w:rPr>
      </w:pPr>
    </w:p>
    <w:p>
      <w:pPr>
        <w:spacing w:line="360" w:lineRule="auto"/>
        <w:ind w:left="2100"/>
        <w:rPr>
          <w:rFonts w:ascii="仿宋_GB2312" w:hAnsi="宋体" w:eastAsia="仿宋_GB2312"/>
          <w:sz w:val="24"/>
          <w:szCs w:val="24"/>
        </w:rPr>
      </w:pPr>
      <w:r>
        <w:rPr>
          <w:rFonts w:hint="eastAsia" w:ascii="仿宋_GB2312" w:hAnsi="宋体" w:eastAsia="仿宋_GB2312"/>
          <w:sz w:val="24"/>
          <w:szCs w:val="24"/>
        </w:rPr>
        <w:t>投标人：</w:t>
      </w:r>
      <w:r>
        <w:rPr>
          <w:rFonts w:hint="eastAsia" w:ascii="仿宋_GB2312" w:hAnsi="宋体" w:eastAsia="仿宋_GB2312"/>
          <w:sz w:val="24"/>
          <w:szCs w:val="24"/>
          <w:u w:val="single"/>
        </w:rPr>
        <w:t>（盖章）</w:t>
      </w:r>
    </w:p>
    <w:p>
      <w:pPr>
        <w:spacing w:line="360" w:lineRule="auto"/>
        <w:ind w:left="2699"/>
        <w:rPr>
          <w:rFonts w:ascii="仿宋_GB2312" w:hAnsi="宋体" w:eastAsia="仿宋_GB2312"/>
          <w:sz w:val="24"/>
          <w:szCs w:val="24"/>
        </w:rPr>
      </w:pPr>
    </w:p>
    <w:p>
      <w:pPr>
        <w:spacing w:line="360" w:lineRule="auto"/>
        <w:ind w:left="2100"/>
        <w:rPr>
          <w:rFonts w:ascii="仿宋_GB2312" w:hAnsi="宋体" w:eastAsia="仿宋_GB2312"/>
          <w:sz w:val="24"/>
          <w:szCs w:val="24"/>
        </w:rPr>
      </w:pPr>
      <w:r>
        <w:rPr>
          <w:rFonts w:hint="eastAsia" w:ascii="仿宋_GB2312" w:hAnsi="宋体" w:eastAsia="仿宋_GB2312"/>
          <w:sz w:val="24"/>
          <w:szCs w:val="24"/>
        </w:rPr>
        <w:t>法定代表人：</w:t>
      </w:r>
      <w:r>
        <w:rPr>
          <w:rFonts w:hint="eastAsia" w:ascii="仿宋_GB2312" w:hAnsi="宋体" w:eastAsia="仿宋_GB2312"/>
          <w:sz w:val="24"/>
          <w:szCs w:val="24"/>
          <w:u w:val="single"/>
        </w:rPr>
        <w:t>（签字或盖章）</w:t>
      </w:r>
    </w:p>
    <w:p>
      <w:pPr>
        <w:spacing w:line="360" w:lineRule="auto"/>
        <w:ind w:left="2699" w:firstLine="480" w:firstLineChars="200"/>
        <w:rPr>
          <w:rFonts w:ascii="仿宋_GB2312" w:hAnsi="宋体" w:eastAsia="仿宋_GB2312"/>
          <w:sz w:val="24"/>
          <w:szCs w:val="24"/>
        </w:rPr>
      </w:pPr>
    </w:p>
    <w:p>
      <w:pPr>
        <w:spacing w:line="360" w:lineRule="auto"/>
        <w:ind w:left="2833" w:leftChars="1349" w:firstLine="2400" w:firstLineChars="1000"/>
        <w:rPr>
          <w:rFonts w:ascii="仿宋_GB2312" w:hAnsi="宋体" w:eastAsia="仿宋_GB2312"/>
          <w:sz w:val="24"/>
          <w:szCs w:val="24"/>
        </w:rPr>
      </w:pPr>
    </w:p>
    <w:p>
      <w:pPr>
        <w:spacing w:line="360" w:lineRule="auto"/>
        <w:rPr>
          <w:rFonts w:ascii="仿宋_GB2312" w:hAnsi="宋体" w:eastAsia="仿宋_GB2312"/>
          <w:sz w:val="24"/>
          <w:szCs w:val="24"/>
        </w:rPr>
      </w:pPr>
    </w:p>
    <w:p>
      <w:pPr>
        <w:spacing w:line="360" w:lineRule="auto"/>
        <w:ind w:left="2833" w:leftChars="1349" w:firstLine="2400" w:firstLineChars="1000"/>
        <w:rPr>
          <w:rFonts w:ascii="仿宋_GB2312" w:hAnsi="宋体" w:eastAsia="仿宋_GB2312"/>
          <w:sz w:val="24"/>
          <w:szCs w:val="24"/>
        </w:rPr>
      </w:pPr>
    </w:p>
    <w:p>
      <w:pPr>
        <w:spacing w:line="360" w:lineRule="auto"/>
        <w:ind w:firstLine="3600" w:firstLineChars="1500"/>
        <w:rPr>
          <w:rFonts w:ascii="Times New Roman" w:hAnsi="Times New Roman"/>
          <w:szCs w:val="24"/>
        </w:rPr>
      </w:pPr>
      <w:r>
        <w:rPr>
          <w:rFonts w:hint="eastAsia" w:ascii="仿宋_GB2312" w:hAnsi="宋体" w:eastAsia="仿宋_GB2312"/>
          <w:sz w:val="24"/>
          <w:szCs w:val="24"/>
        </w:rPr>
        <w:t>授权委托日期：年月日</w:t>
      </w:r>
    </w:p>
    <w:p/>
    <w:p>
      <w:pPr>
        <w:widowControl/>
        <w:jc w:val="left"/>
        <w:rPr>
          <w:rFonts w:ascii="Times New Roman" w:hAnsi="Times New Roman"/>
          <w:kern w:val="0"/>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8123616"/>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82"/>
    <w:rsid w:val="00001F9B"/>
    <w:rsid w:val="00004485"/>
    <w:rsid w:val="00010559"/>
    <w:rsid w:val="00011DA8"/>
    <w:rsid w:val="000214AC"/>
    <w:rsid w:val="00035402"/>
    <w:rsid w:val="00036A67"/>
    <w:rsid w:val="000444E0"/>
    <w:rsid w:val="00044A7A"/>
    <w:rsid w:val="00053F88"/>
    <w:rsid w:val="0006069C"/>
    <w:rsid w:val="000616DE"/>
    <w:rsid w:val="00075F48"/>
    <w:rsid w:val="00084C00"/>
    <w:rsid w:val="0008763A"/>
    <w:rsid w:val="00093EF0"/>
    <w:rsid w:val="000A34F2"/>
    <w:rsid w:val="000B146B"/>
    <w:rsid w:val="000C6EF9"/>
    <w:rsid w:val="000C7520"/>
    <w:rsid w:val="000C7E3C"/>
    <w:rsid w:val="000D0381"/>
    <w:rsid w:val="000D11F3"/>
    <w:rsid w:val="000F2480"/>
    <w:rsid w:val="00107065"/>
    <w:rsid w:val="0012599F"/>
    <w:rsid w:val="00126351"/>
    <w:rsid w:val="00131FDA"/>
    <w:rsid w:val="00144634"/>
    <w:rsid w:val="00144B5D"/>
    <w:rsid w:val="001468EA"/>
    <w:rsid w:val="001503D6"/>
    <w:rsid w:val="0015744C"/>
    <w:rsid w:val="00162797"/>
    <w:rsid w:val="00182DB4"/>
    <w:rsid w:val="00185D47"/>
    <w:rsid w:val="00197965"/>
    <w:rsid w:val="001A37C8"/>
    <w:rsid w:val="001C2EF6"/>
    <w:rsid w:val="001C3A3F"/>
    <w:rsid w:val="001C69B9"/>
    <w:rsid w:val="001D4FF3"/>
    <w:rsid w:val="001D5150"/>
    <w:rsid w:val="001E6974"/>
    <w:rsid w:val="001F35A2"/>
    <w:rsid w:val="001F6E1C"/>
    <w:rsid w:val="00200FCC"/>
    <w:rsid w:val="002071DD"/>
    <w:rsid w:val="002147DF"/>
    <w:rsid w:val="002333E6"/>
    <w:rsid w:val="002460DC"/>
    <w:rsid w:val="002635B7"/>
    <w:rsid w:val="00264375"/>
    <w:rsid w:val="00277AEE"/>
    <w:rsid w:val="00283DC4"/>
    <w:rsid w:val="00290E31"/>
    <w:rsid w:val="0029270E"/>
    <w:rsid w:val="002A25F5"/>
    <w:rsid w:val="002A4650"/>
    <w:rsid w:val="002B29F6"/>
    <w:rsid w:val="002B5663"/>
    <w:rsid w:val="002C6F88"/>
    <w:rsid w:val="002E614E"/>
    <w:rsid w:val="002F3715"/>
    <w:rsid w:val="00310EF4"/>
    <w:rsid w:val="0031218C"/>
    <w:rsid w:val="0032109D"/>
    <w:rsid w:val="00327A97"/>
    <w:rsid w:val="003344F5"/>
    <w:rsid w:val="0033677F"/>
    <w:rsid w:val="00345E32"/>
    <w:rsid w:val="00383A49"/>
    <w:rsid w:val="00385DE9"/>
    <w:rsid w:val="003975E6"/>
    <w:rsid w:val="00397D7F"/>
    <w:rsid w:val="003A1A37"/>
    <w:rsid w:val="003B1520"/>
    <w:rsid w:val="003B6CDD"/>
    <w:rsid w:val="003C687C"/>
    <w:rsid w:val="003E55DD"/>
    <w:rsid w:val="0040133D"/>
    <w:rsid w:val="0041018E"/>
    <w:rsid w:val="00432532"/>
    <w:rsid w:val="00433EE8"/>
    <w:rsid w:val="004358BE"/>
    <w:rsid w:val="00446C74"/>
    <w:rsid w:val="00450F47"/>
    <w:rsid w:val="0047229E"/>
    <w:rsid w:val="004748C1"/>
    <w:rsid w:val="00477196"/>
    <w:rsid w:val="0047786E"/>
    <w:rsid w:val="0048172B"/>
    <w:rsid w:val="004A031A"/>
    <w:rsid w:val="004A5968"/>
    <w:rsid w:val="004A5FB0"/>
    <w:rsid w:val="004A79C6"/>
    <w:rsid w:val="004B4427"/>
    <w:rsid w:val="004E2794"/>
    <w:rsid w:val="004E6CAA"/>
    <w:rsid w:val="004F058A"/>
    <w:rsid w:val="00502087"/>
    <w:rsid w:val="005057F5"/>
    <w:rsid w:val="00514C18"/>
    <w:rsid w:val="00527DBF"/>
    <w:rsid w:val="005317AD"/>
    <w:rsid w:val="005419AD"/>
    <w:rsid w:val="00545B8B"/>
    <w:rsid w:val="00553DEF"/>
    <w:rsid w:val="00565909"/>
    <w:rsid w:val="005A5E56"/>
    <w:rsid w:val="005B657B"/>
    <w:rsid w:val="005B6F30"/>
    <w:rsid w:val="005B71A5"/>
    <w:rsid w:val="005C6D5C"/>
    <w:rsid w:val="005D11F9"/>
    <w:rsid w:val="005D48B7"/>
    <w:rsid w:val="005D6731"/>
    <w:rsid w:val="005D6851"/>
    <w:rsid w:val="005E3D0F"/>
    <w:rsid w:val="005E4AB6"/>
    <w:rsid w:val="005F1CB5"/>
    <w:rsid w:val="00611568"/>
    <w:rsid w:val="00617912"/>
    <w:rsid w:val="0062282A"/>
    <w:rsid w:val="00633C8B"/>
    <w:rsid w:val="00641109"/>
    <w:rsid w:val="00667D98"/>
    <w:rsid w:val="00674E10"/>
    <w:rsid w:val="00674EBB"/>
    <w:rsid w:val="006839A6"/>
    <w:rsid w:val="006868DE"/>
    <w:rsid w:val="00691E58"/>
    <w:rsid w:val="006953A7"/>
    <w:rsid w:val="006965E5"/>
    <w:rsid w:val="006B0088"/>
    <w:rsid w:val="006B295D"/>
    <w:rsid w:val="006B3697"/>
    <w:rsid w:val="006C28AD"/>
    <w:rsid w:val="006C3521"/>
    <w:rsid w:val="006D0CD6"/>
    <w:rsid w:val="006E0BF1"/>
    <w:rsid w:val="006E161A"/>
    <w:rsid w:val="006E3422"/>
    <w:rsid w:val="006E5DA1"/>
    <w:rsid w:val="006F7A7F"/>
    <w:rsid w:val="00703DE0"/>
    <w:rsid w:val="00713B28"/>
    <w:rsid w:val="007141B7"/>
    <w:rsid w:val="00715D5A"/>
    <w:rsid w:val="00733AA5"/>
    <w:rsid w:val="00735BC9"/>
    <w:rsid w:val="00735E6A"/>
    <w:rsid w:val="007473F0"/>
    <w:rsid w:val="00765C9B"/>
    <w:rsid w:val="00767058"/>
    <w:rsid w:val="007712AE"/>
    <w:rsid w:val="00773CBB"/>
    <w:rsid w:val="00792254"/>
    <w:rsid w:val="007C0CF3"/>
    <w:rsid w:val="007C3B88"/>
    <w:rsid w:val="007C5EC8"/>
    <w:rsid w:val="007E159A"/>
    <w:rsid w:val="007E4A1F"/>
    <w:rsid w:val="007F711A"/>
    <w:rsid w:val="00800777"/>
    <w:rsid w:val="00814D72"/>
    <w:rsid w:val="00820955"/>
    <w:rsid w:val="0084694F"/>
    <w:rsid w:val="008525C4"/>
    <w:rsid w:val="0089002B"/>
    <w:rsid w:val="00890CA4"/>
    <w:rsid w:val="0089715D"/>
    <w:rsid w:val="008B190C"/>
    <w:rsid w:val="008B7C8B"/>
    <w:rsid w:val="008C3296"/>
    <w:rsid w:val="008D1841"/>
    <w:rsid w:val="008D26E5"/>
    <w:rsid w:val="008E6EBD"/>
    <w:rsid w:val="008F7763"/>
    <w:rsid w:val="00901B5B"/>
    <w:rsid w:val="0090295F"/>
    <w:rsid w:val="009043A6"/>
    <w:rsid w:val="00910EC5"/>
    <w:rsid w:val="00913101"/>
    <w:rsid w:val="0092731F"/>
    <w:rsid w:val="00963AB8"/>
    <w:rsid w:val="009653D5"/>
    <w:rsid w:val="009910D7"/>
    <w:rsid w:val="009A1001"/>
    <w:rsid w:val="009A4F33"/>
    <w:rsid w:val="009A671F"/>
    <w:rsid w:val="009A6C97"/>
    <w:rsid w:val="009B75EA"/>
    <w:rsid w:val="009C420F"/>
    <w:rsid w:val="009E5EB8"/>
    <w:rsid w:val="009F4D18"/>
    <w:rsid w:val="009F5B5A"/>
    <w:rsid w:val="00A2621E"/>
    <w:rsid w:val="00A262FD"/>
    <w:rsid w:val="00A32BB5"/>
    <w:rsid w:val="00A345B4"/>
    <w:rsid w:val="00A367A5"/>
    <w:rsid w:val="00A36F2D"/>
    <w:rsid w:val="00A36F8E"/>
    <w:rsid w:val="00A43E1D"/>
    <w:rsid w:val="00A620BD"/>
    <w:rsid w:val="00A653C6"/>
    <w:rsid w:val="00A67699"/>
    <w:rsid w:val="00A72C44"/>
    <w:rsid w:val="00A75DA7"/>
    <w:rsid w:val="00A82B8F"/>
    <w:rsid w:val="00A83125"/>
    <w:rsid w:val="00A847A9"/>
    <w:rsid w:val="00A866D2"/>
    <w:rsid w:val="00A96D66"/>
    <w:rsid w:val="00AA0C43"/>
    <w:rsid w:val="00AA5FBF"/>
    <w:rsid w:val="00AB63D6"/>
    <w:rsid w:val="00AC09EE"/>
    <w:rsid w:val="00AC5114"/>
    <w:rsid w:val="00AD589E"/>
    <w:rsid w:val="00AF3D9D"/>
    <w:rsid w:val="00B2367A"/>
    <w:rsid w:val="00B24BCD"/>
    <w:rsid w:val="00B26964"/>
    <w:rsid w:val="00B46511"/>
    <w:rsid w:val="00B51E19"/>
    <w:rsid w:val="00B61E8D"/>
    <w:rsid w:val="00B65FB5"/>
    <w:rsid w:val="00B714F7"/>
    <w:rsid w:val="00B77E59"/>
    <w:rsid w:val="00BD4933"/>
    <w:rsid w:val="00BD6ED5"/>
    <w:rsid w:val="00BD79CB"/>
    <w:rsid w:val="00BE35BB"/>
    <w:rsid w:val="00BE36C1"/>
    <w:rsid w:val="00BF4BDB"/>
    <w:rsid w:val="00BF519F"/>
    <w:rsid w:val="00C16EAB"/>
    <w:rsid w:val="00C25058"/>
    <w:rsid w:val="00C35C5F"/>
    <w:rsid w:val="00C644E9"/>
    <w:rsid w:val="00C80A87"/>
    <w:rsid w:val="00C84BDC"/>
    <w:rsid w:val="00C93243"/>
    <w:rsid w:val="00C97EFE"/>
    <w:rsid w:val="00CA64E5"/>
    <w:rsid w:val="00CA771D"/>
    <w:rsid w:val="00CB08BB"/>
    <w:rsid w:val="00CB503D"/>
    <w:rsid w:val="00CC2E6D"/>
    <w:rsid w:val="00CC58BF"/>
    <w:rsid w:val="00CD180E"/>
    <w:rsid w:val="00CD2603"/>
    <w:rsid w:val="00CD2BA8"/>
    <w:rsid w:val="00CE50E0"/>
    <w:rsid w:val="00CF0DB4"/>
    <w:rsid w:val="00D011BF"/>
    <w:rsid w:val="00D03791"/>
    <w:rsid w:val="00D22943"/>
    <w:rsid w:val="00D23A24"/>
    <w:rsid w:val="00D342AD"/>
    <w:rsid w:val="00D36A28"/>
    <w:rsid w:val="00D738A9"/>
    <w:rsid w:val="00D803B5"/>
    <w:rsid w:val="00D82E5E"/>
    <w:rsid w:val="00D8330C"/>
    <w:rsid w:val="00DA0616"/>
    <w:rsid w:val="00DA683E"/>
    <w:rsid w:val="00DB3B92"/>
    <w:rsid w:val="00DB54EC"/>
    <w:rsid w:val="00DB56CC"/>
    <w:rsid w:val="00DC1802"/>
    <w:rsid w:val="00DC2D75"/>
    <w:rsid w:val="00DC3671"/>
    <w:rsid w:val="00DC603D"/>
    <w:rsid w:val="00DD0395"/>
    <w:rsid w:val="00DD0A66"/>
    <w:rsid w:val="00DE2F7C"/>
    <w:rsid w:val="00DF2B5D"/>
    <w:rsid w:val="00E07155"/>
    <w:rsid w:val="00E13EDC"/>
    <w:rsid w:val="00E47733"/>
    <w:rsid w:val="00E5201B"/>
    <w:rsid w:val="00E55182"/>
    <w:rsid w:val="00E5692F"/>
    <w:rsid w:val="00E8131B"/>
    <w:rsid w:val="00E87CF0"/>
    <w:rsid w:val="00E907AB"/>
    <w:rsid w:val="00E94AFB"/>
    <w:rsid w:val="00EA6BA2"/>
    <w:rsid w:val="00EC0630"/>
    <w:rsid w:val="00EC7EC7"/>
    <w:rsid w:val="00ED0AFC"/>
    <w:rsid w:val="00F151E2"/>
    <w:rsid w:val="00F55D06"/>
    <w:rsid w:val="00F56188"/>
    <w:rsid w:val="00F60E2A"/>
    <w:rsid w:val="00F6110D"/>
    <w:rsid w:val="00F621EE"/>
    <w:rsid w:val="00F66038"/>
    <w:rsid w:val="00F73F19"/>
    <w:rsid w:val="00F741C1"/>
    <w:rsid w:val="00F81ED9"/>
    <w:rsid w:val="00F83E8E"/>
    <w:rsid w:val="00F925E6"/>
    <w:rsid w:val="00FA64D8"/>
    <w:rsid w:val="00FA74C5"/>
    <w:rsid w:val="00FB27C8"/>
    <w:rsid w:val="00FC0EE9"/>
    <w:rsid w:val="00FC11AA"/>
    <w:rsid w:val="00FE164C"/>
    <w:rsid w:val="00FF6777"/>
    <w:rsid w:val="09446796"/>
    <w:rsid w:val="09A92616"/>
    <w:rsid w:val="1356082A"/>
    <w:rsid w:val="1CD0436F"/>
    <w:rsid w:val="28414403"/>
    <w:rsid w:val="2EC17560"/>
    <w:rsid w:val="30914408"/>
    <w:rsid w:val="328327A4"/>
    <w:rsid w:val="401A09AE"/>
    <w:rsid w:val="4487237B"/>
    <w:rsid w:val="4B501E22"/>
    <w:rsid w:val="4E0516EB"/>
    <w:rsid w:val="65F73206"/>
    <w:rsid w:val="70A16B2E"/>
    <w:rsid w:val="70C73DAA"/>
    <w:rsid w:val="73AE09A0"/>
    <w:rsid w:val="78A56CF3"/>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qFormat/>
    <w:uiPriority w:val="0"/>
    <w:rPr>
      <w:b/>
      <w:bCs/>
    </w:r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color w:val="954F72" w:themeColor="followedHyperlink"/>
      <w:u w:val="single"/>
      <w14:textFill>
        <w14:solidFill>
          <w14:schemeClr w14:val="folHlink"/>
        </w14:solidFill>
      </w14:textFill>
    </w:rPr>
  </w:style>
  <w:style w:type="character" w:styleId="9">
    <w:name w:val="Hyperlink"/>
    <w:basedOn w:val="7"/>
    <w:qFormat/>
    <w:uiPriority w:val="0"/>
    <w:rPr>
      <w:color w:val="0563C1" w:themeColor="hyperlink"/>
      <w:u w:val="single"/>
      <w14:textFill>
        <w14:solidFill>
          <w14:schemeClr w14:val="hlink"/>
        </w14:solidFill>
      </w14:textFill>
    </w:rPr>
  </w:style>
  <w:style w:type="character" w:styleId="10">
    <w:name w:val="annotation reference"/>
    <w:basedOn w:val="7"/>
    <w:qFormat/>
    <w:uiPriority w:val="0"/>
    <w:rPr>
      <w:sz w:val="21"/>
      <w:szCs w:val="21"/>
    </w:rPr>
  </w:style>
  <w:style w:type="character" w:customStyle="1" w:styleId="12">
    <w:name w:val="页眉 Char"/>
    <w:basedOn w:val="7"/>
    <w:link w:val="6"/>
    <w:qFormat/>
    <w:uiPriority w:val="0"/>
    <w:rPr>
      <w:rFonts w:ascii="Calibri" w:hAnsi="Calibri" w:eastAsia="宋体" w:cs="Times New Roman"/>
      <w:kern w:val="2"/>
      <w:sz w:val="18"/>
      <w:szCs w:val="18"/>
    </w:rPr>
  </w:style>
  <w:style w:type="character" w:customStyle="1" w:styleId="13">
    <w:name w:val="页脚 Char"/>
    <w:basedOn w:val="7"/>
    <w:link w:val="5"/>
    <w:qFormat/>
    <w:uiPriority w:val="99"/>
    <w:rPr>
      <w:rFonts w:ascii="Calibri" w:hAnsi="Calibri" w:eastAsia="宋体" w:cs="Times New Roman"/>
      <w:kern w:val="2"/>
      <w:sz w:val="18"/>
      <w:szCs w:val="18"/>
    </w:rPr>
  </w:style>
  <w:style w:type="character" w:customStyle="1" w:styleId="14">
    <w:name w:val="批注框文本 Char"/>
    <w:basedOn w:val="7"/>
    <w:link w:val="4"/>
    <w:qFormat/>
    <w:uiPriority w:val="0"/>
    <w:rPr>
      <w:rFonts w:ascii="Calibri" w:hAnsi="Calibri" w:eastAsia="宋体" w:cs="Times New Roman"/>
      <w:kern w:val="2"/>
      <w:sz w:val="18"/>
      <w:szCs w:val="18"/>
    </w:rPr>
  </w:style>
  <w:style w:type="character" w:customStyle="1" w:styleId="15">
    <w:name w:val="批注文字 Char"/>
    <w:basedOn w:val="7"/>
    <w:link w:val="3"/>
    <w:qFormat/>
    <w:uiPriority w:val="0"/>
    <w:rPr>
      <w:rFonts w:ascii="Calibri" w:hAnsi="Calibri" w:eastAsia="宋体" w:cs="Times New Roman"/>
      <w:kern w:val="2"/>
      <w:sz w:val="21"/>
      <w:szCs w:val="22"/>
    </w:rPr>
  </w:style>
  <w:style w:type="character" w:customStyle="1" w:styleId="16">
    <w:name w:val="批注主题 Char"/>
    <w:basedOn w:val="15"/>
    <w:link w:val="2"/>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F9637-6582-4822-BB98-3F3598110A24}">
  <ds:schemaRefs/>
</ds:datastoreItem>
</file>

<file path=docProps/app.xml><?xml version="1.0" encoding="utf-8"?>
<Properties xmlns="http://schemas.openxmlformats.org/officeDocument/2006/extended-properties" xmlns:vt="http://schemas.openxmlformats.org/officeDocument/2006/docPropsVTypes">
  <Template>Normal</Template>
  <Pages>17</Pages>
  <Words>819</Words>
  <Characters>4674</Characters>
  <Lines>38</Lines>
  <Paragraphs>10</Paragraphs>
  <TotalTime>0</TotalTime>
  <ScaleCrop>false</ScaleCrop>
  <LinksUpToDate>false</LinksUpToDate>
  <CharactersWithSpaces>5483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2018-09-06T02:13:00Z</dcterms:created>
  <dc:creator>726</dc:creator>
  <cp:lastModifiedBy>贾思勰</cp:lastModifiedBy>
  <cp:lastPrinted>2020-03-27T02:16:00Z</cp:lastPrinted>
  <dcterms:modified xsi:type="dcterms:W3CDTF">2020-03-27T08:12:02Z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