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rPr>
        <w:t>痕量检测仪维修配件及耗材服务供应商选聘项目</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lang w:eastAsia="zh-CN"/>
        </w:rPr>
        <w:t>（重新招标）</w:t>
      </w: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二Ο二Ο年三月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spacing w:val="-1"/>
          <w:u w:val="single"/>
        </w:rPr>
        <w:t>痕量检测仪维修配件及耗材服务供应商选聘项目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 ，具体要求详见第五章。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ascii="宋体" w:hAnsi="宋体"/>
          <w:szCs w:val="21"/>
        </w:rPr>
        <w:t>通过招标选择</w:t>
      </w:r>
      <w:r>
        <w:rPr>
          <w:rFonts w:hint="eastAsia" w:ascii="宋体" w:hAnsi="宋体" w:cs="Arial"/>
          <w:kern w:val="0"/>
          <w:sz w:val="22"/>
        </w:rPr>
        <w:t>痕量检测仪维修配件及耗材服务供应商</w:t>
      </w:r>
      <w:r>
        <w:rPr>
          <w:rFonts w:hint="eastAsia" w:ascii="宋体" w:hAnsi="宋体"/>
          <w:szCs w:val="21"/>
        </w:rPr>
        <w:t>后，签订框架协议，由中标人根据招标要求为杭州萧山国际机场提供</w:t>
      </w:r>
      <w:r>
        <w:rPr>
          <w:rFonts w:hint="eastAsia" w:ascii="宋体" w:hAnsi="宋体" w:cs="Arial"/>
          <w:kern w:val="0"/>
          <w:sz w:val="22"/>
        </w:rPr>
        <w:t>痕量检测仪维修配件及耗材服务</w:t>
      </w:r>
      <w:r>
        <w:rPr>
          <w:rFonts w:hint="eastAsia" w:ascii="宋体" w:hAnsi="宋体"/>
          <w:szCs w:val="21"/>
        </w:rPr>
        <w:t>供应，中标人需根据招标文件要求提供相关服务,并出具服务类</w:t>
      </w:r>
      <w:r>
        <w:rPr>
          <w:rFonts w:hint="eastAsia" w:ascii="宋体" w:hAnsi="宋体"/>
          <w:bCs/>
          <w:sz w:val="22"/>
        </w:rPr>
        <w:t>增值税专用发票结算</w:t>
      </w:r>
      <w:r>
        <w:rPr>
          <w:rFonts w:hint="eastAsia" w:ascii="宋体" w:hAnsi="宋体"/>
          <w:szCs w:val="21"/>
        </w:rPr>
        <w:t>。</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服务期：本项目服务期为</w:t>
      </w:r>
      <w:r>
        <w:rPr>
          <w:rFonts w:hint="eastAsia" w:ascii="宋体" w:hAnsi="宋体" w:cs="Arial"/>
          <w:kern w:val="0"/>
          <w:sz w:val="22"/>
        </w:rPr>
        <w:t>2年，自【】年【】月【】日至【】年【】月【】日</w:t>
      </w:r>
      <w:r>
        <w:rPr>
          <w:rFonts w:ascii="宋体" w:hAnsi="宋体" w:cs="Arial"/>
          <w:kern w:val="0"/>
          <w:sz w:val="22"/>
        </w:rPr>
        <w:t>。</w:t>
      </w:r>
      <w:r>
        <w:rPr>
          <w:rFonts w:hint="eastAsia" w:ascii="宋体" w:hAnsi="宋体" w:cs="宋体"/>
          <w:snapToGrid w:val="0"/>
          <w:kern w:val="0"/>
          <w:szCs w:val="21"/>
        </w:rPr>
        <w:t>第一年期限届满60日前，由招标人按照《考核细则》对乙方进行考核，考核结果达到85分视为考核合格。如考核结果不合格，则招标人有权解除合同，并有权要求本项目的中标人赔偿后一年因更换承包商所产生的高于原合同费用的差价、交通费、招标代理费、诉讼费、律师费等费用。</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500</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cs="宋体"/>
        </w:rPr>
      </w:pPr>
      <w:r>
        <w:rPr>
          <w:rFonts w:hint="eastAsia" w:cs="宋体"/>
        </w:rPr>
        <w:t xml:space="preserve">⑤ </w:t>
      </w:r>
      <w:r>
        <w:rPr>
          <w:rFonts w:cs="宋体"/>
        </w:rPr>
        <w:t xml:space="preserve">  </w:t>
      </w:r>
      <w:r>
        <w:rPr>
          <w:rFonts w:hint="eastAsia" w:cs="宋体"/>
        </w:rPr>
        <w:t>投标人须具备</w:t>
      </w:r>
      <w:r>
        <w:rPr>
          <w:rFonts w:hint="eastAsia" w:ascii="宋体" w:hAnsi="宋体"/>
          <w:szCs w:val="21"/>
          <w:u w:val="single"/>
        </w:rPr>
        <w:t>痕量检测仪生产厂家授权，所提供配件、耗材必须为原厂。进口配件、耗材需提供海关报关单等备查</w:t>
      </w:r>
      <w:r>
        <w:rPr>
          <w:rFonts w:hint="eastAsia" w:cs="宋体"/>
        </w:rPr>
        <w:t>，并在人员、设备、资金等方面具有相应的能力。</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 xml:space="preserve">⑥  </w:t>
      </w:r>
      <w:r>
        <w:rPr>
          <w:rFonts w:cs="宋体"/>
          <w:u w:val="single"/>
        </w:rPr>
        <w:t>标项一、标项二、标项四设备投标人需提供投标设备放射源豁免函，豁免函的申请人须为投标人或所投产品的制造商，并提供豁免函的复印件（原件备查）</w:t>
      </w:r>
      <w:r>
        <w:rPr>
          <w:rFonts w:hint="eastAsia" w:cs="宋体"/>
        </w:rPr>
        <w:t>。</w:t>
      </w:r>
    </w:p>
    <w:p>
      <w:pPr>
        <w:pStyle w:val="16"/>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⑦  近年（合同</w:t>
      </w:r>
      <w:r>
        <w:rPr>
          <w:rFonts w:cs="宋体"/>
        </w:rPr>
        <w:t>签订时间或部分服务期在</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rPr>
        <w:t>不接受</w:t>
      </w:r>
      <w:r>
        <w:rPr>
          <w:spacing w:val="6"/>
        </w:rPr>
        <w:t>联合体投标</w:t>
      </w:r>
      <w:r>
        <w:t>。</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2020年5月7日9时30分</w:t>
      </w:r>
      <w:r>
        <w:rPr>
          <w:rFonts w:hint="eastAsia" w:cs="宋体"/>
        </w:rPr>
        <w:t>，投标文件在封口处加盖公章，派专人于</w:t>
      </w:r>
      <w:r>
        <w:rPr>
          <w:rFonts w:hint="eastAsia" w:ascii="Times New Roman" w:hAnsi="Times New Roman"/>
          <w:lang w:eastAsia="zh-CN"/>
        </w:rPr>
        <w:t>2020年5月7日9时30分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2020年5月7日9时30分</w:t>
      </w:r>
      <w:r>
        <w:rPr>
          <w:rFonts w:hint="eastAsia"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31"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t xml:space="preserve"> </w:t>
      </w:r>
      <w:r>
        <w:rPr>
          <w:rFonts w:hint="eastAsia"/>
        </w:rPr>
        <w:t>浙江政务</w:t>
      </w:r>
      <w:r>
        <w:t>服务网</w:t>
      </w:r>
      <w:r>
        <w:rPr>
          <w:rFonts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r>
        <w:rPr>
          <w:rFonts w:ascii="黑体" w:hAnsi="黑体" w:eastAsia="黑体"/>
        </w:rPr>
        <w:t>7.联系方式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联系电话：0571-86662133</w:t>
      </w:r>
    </w:p>
    <w:p>
      <w:pPr>
        <w:pStyle w:val="2"/>
        <w:spacing w:line="564" w:lineRule="exact"/>
        <w:ind w:right="57"/>
        <w:jc w:val="center"/>
      </w:pPr>
      <w:bookmarkStart w:id="12" w:name="_bookmark9"/>
      <w:bookmarkEnd w:id="12"/>
      <w:bookmarkStart w:id="13" w:name="_bookmark18"/>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spacing w:val="-1"/>
                <w:szCs w:val="24"/>
                <w:u w:val="single"/>
              </w:rPr>
              <w:t>痕量检测仪维修配件及耗材服务供应商选聘</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w:t>
            </w:r>
            <w:r>
              <w:rPr>
                <w:rFonts w:hint="eastAsia" w:ascii="宋体" w:hAnsi="宋体" w:cs="宋体"/>
              </w:rPr>
              <w:t>”</w:t>
            </w:r>
            <w:r>
              <w:rPr>
                <w:rFonts w:ascii="宋体" w:hAnsi="宋体" w:cs="宋体"/>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rPr>
              <w:t>本项目服务期为</w:t>
            </w:r>
            <w:r>
              <w:rPr>
                <w:rFonts w:hint="eastAsia" w:ascii="宋体" w:hAnsi="宋体" w:cs="Arial"/>
                <w:kern w:val="0"/>
                <w:sz w:val="22"/>
              </w:rPr>
              <w:t>2年，自【】年【】月【】日至【】年【】月【】日</w:t>
            </w:r>
            <w:r>
              <w:rPr>
                <w:rFonts w:ascii="宋体" w:hAnsi="宋体" w:cs="Arial"/>
                <w:kern w:val="0"/>
                <w:sz w:val="22"/>
              </w:rPr>
              <w:t>。</w:t>
            </w:r>
            <w:r>
              <w:rPr>
                <w:rFonts w:hint="eastAsia" w:ascii="宋体" w:hAnsi="宋体" w:cs="宋体"/>
                <w:snapToGrid w:val="0"/>
                <w:kern w:val="0"/>
                <w:szCs w:val="21"/>
              </w:rPr>
              <w:t>第一年期限届满60日前，由招标人按照《考核细则》对乙方进行考核，考核结果达到85分视为考核合格。如考核结果不合格，则招标人有权解除合同，并有权要求本项目的中标人赔偿后一年因更换承包商所产生的高于原合同费用的差价、交通费、招标代理费、诉讼费、律师费等费用。</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w:t>
            </w:r>
            <w:r>
              <w:rPr>
                <w:rFonts w:hint="eastAsia" w:ascii="宋体" w:hAnsi="宋体" w:cs="宋体"/>
              </w:rPr>
              <w:t>”</w:t>
            </w:r>
            <w:r>
              <w:rPr>
                <w:rFonts w:ascii="宋体" w:hAnsi="宋体" w:cs="宋体"/>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spacing w:val="-10"/>
              </w:rPr>
              <w:t>形式：加盖公章后将扫描件发送邮件至</w:t>
            </w:r>
            <w:r>
              <w:rPr>
                <w:rFonts w:ascii="宋体" w:hAnsi="宋体" w:cs="宋体"/>
                <w:spacing w:val="-10"/>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（5）服务期不满足招标文件要求的；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20</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4</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29</w:t>
            </w:r>
            <w:bookmarkStart w:id="88" w:name="_GoBack"/>
            <w:bookmarkEnd w:id="88"/>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6"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6"/>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7" w:name="EB191aa127b49d4a8b95623a875e1177a4"/>
            <w:r>
              <w:rPr>
                <w:rFonts w:ascii="宋体" w:hAnsi="宋体"/>
                <w:u w:val="single"/>
              </w:rPr>
              <w:t>12</w:t>
            </w:r>
            <w:r>
              <w:rPr>
                <w:rFonts w:hint="eastAsia" w:ascii="宋体" w:hAnsi="宋体"/>
                <w:u w:val="single"/>
              </w:rPr>
              <w:t>0</w:t>
            </w:r>
            <w:bookmarkEnd w:id="17"/>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hint="eastAsia" w:ascii="宋体" w:hAnsi="宋体" w:cs="宋体"/>
                <w:u w:val="single"/>
              </w:rPr>
              <w:t>每标段2</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ascii="Segoe UI Emoji" w:hAnsi="Segoe UI Emoji" w:cs="Segoe UI Emoji"/>
                </w:rPr>
                <w:id w:val="-136003771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sz w:val="22"/>
                <w:szCs w:val="22"/>
              </w:rPr>
              <w:t>）在本企业缴纳的时间要求。投标文件中可使用社保证明的复制件但须同时加盖投标人印章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18"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8"/>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highlight w:val="yellow"/>
              </w:rPr>
            </w:pPr>
            <w:r>
              <w:rPr>
                <w:rFonts w:hint="eastAsia" w:ascii="宋体" w:hAnsi="宋体" w:cs="宋体"/>
                <w:highlight w:val="yellow"/>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highlight w:val="yellow"/>
              </w:rPr>
            </w:pPr>
            <w:r>
              <w:rPr>
                <w:rFonts w:hint="eastAsia" w:ascii="宋体" w:hAnsi="宋体" w:cs="宋体"/>
                <w:highlight w:val="yellow"/>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20</w:t>
            </w:r>
            <w:r>
              <w:rPr>
                <w:rFonts w:hint="eastAsia" w:ascii="宋体" w:hAnsi="宋体" w:cs="宋体"/>
              </w:rPr>
              <w:t>17年1</w:t>
            </w:r>
            <w:r>
              <w:rPr>
                <w:rFonts w:ascii="宋体" w:hAnsi="宋体" w:cs="宋体"/>
              </w:rPr>
              <w:t xml:space="preserve"> 月</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highlight w:val="yellow"/>
              </w:rPr>
            </w:pPr>
            <w:r>
              <w:rPr>
                <w:rFonts w:hint="eastAsia" w:ascii="宋体" w:hAnsi="宋体" w:cs="宋体"/>
                <w:highlight w:val="yellow"/>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2017年1</w:t>
            </w:r>
            <w:r>
              <w:rPr>
                <w:rFonts w:ascii="宋体" w:hAnsi="宋体" w:cs="宋体"/>
              </w:rPr>
              <w:t xml:space="preserve"> </w:t>
            </w:r>
            <w:r>
              <w:rPr>
                <w:rFonts w:hint="eastAsia" w:ascii="宋体" w:hAnsi="宋体" w:cs="宋体"/>
              </w:rPr>
              <w:t>月1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lang w:eastAsia="zh-CN"/>
              </w:rPr>
              <w:t>2020年5月7日9时30分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2020年5月7日9时30分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highlight w:val="yellow"/>
              </w:rPr>
              <w:t>履约保证金的金额：</w:t>
            </w:r>
            <w:r>
              <w:rPr>
                <w:rFonts w:hint="eastAsia" w:ascii="宋体" w:hAnsi="宋体" w:cs="宋体"/>
              </w:rPr>
              <w:t>每标段收取2万元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按合同条款规定执行。</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19"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w:t>
      </w:r>
      <w:r>
        <w:rPr>
          <w:rFonts w:hint="eastAsia" w:ascii="宋体" w:hAnsi="宋体" w:cs="宋体"/>
          <w:kern w:val="0"/>
          <w:sz w:val="22"/>
          <w:highlight w:val="yellow"/>
        </w:rPr>
        <w:t>履约保证金为</w:t>
      </w:r>
      <w:r>
        <w:rPr>
          <w:rFonts w:hint="eastAsia" w:ascii="宋体" w:hAnsi="宋体" w:cs="宋体"/>
          <w:kern w:val="0"/>
          <w:sz w:val="22"/>
        </w:rPr>
        <w:t>每标段2万元。联合体中标的，其履约保证金以联合体各方或者联合体中牵头人的名义提交。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0" w:name="_Toc219809802"/>
      <w:bookmarkStart w:id="21" w:name="_Toc15553"/>
      <w:bookmarkStart w:id="22"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0"/>
      <w:bookmarkEnd w:id="21"/>
      <w:bookmarkEnd w:id="2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18806"/>
      <w:bookmarkStart w:id="24" w:name="_Toc219809803"/>
      <w:bookmarkStart w:id="25" w:name="_Toc220123243"/>
      <w:r>
        <w:rPr>
          <w:rFonts w:hint="eastAsia" w:ascii="宋体" w:hAnsi="宋体" w:cs="宋体"/>
          <w:b/>
          <w:kern w:val="0"/>
          <w:sz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19"/>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6" w:name="_bookmark76"/>
      <w:bookmarkEnd w:id="26"/>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7" w:name="_bookmark77"/>
      <w:bookmarkEnd w:id="27"/>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8" w:name="_bookmark78"/>
      <w:bookmarkEnd w:id="28"/>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29" w:name="_Toc19698497"/>
      <w:r>
        <w:rPr>
          <w:rFonts w:hint="eastAsia"/>
          <w:b w:val="0"/>
          <w:bCs w:val="0"/>
        </w:rPr>
        <w:t>第三章</w:t>
      </w:r>
      <w:r>
        <w:rPr>
          <w:b w:val="0"/>
          <w:bCs w:val="0"/>
        </w:rPr>
        <w:t xml:space="preserve">  </w:t>
      </w:r>
      <w:r>
        <w:rPr>
          <w:rFonts w:hint="eastAsia"/>
          <w:b w:val="0"/>
          <w:bCs w:val="0"/>
        </w:rPr>
        <w:t>评标办法</w:t>
      </w:r>
      <w:bookmarkEnd w:id="29"/>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highlight w:val="yellow"/>
        </w:rPr>
        <w:t>资信及技术评分分值设定标准</w:t>
      </w:r>
      <w:r>
        <w:rPr>
          <w:rFonts w:hint="eastAsia" w:ascii="宋体" w:hAnsi="宋体" w:cs="宋体"/>
          <w:sz w:val="22"/>
        </w:rPr>
        <w:t>（每标段均参照此标准）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328"/>
        <w:gridCol w:w="4639"/>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Pr>
          <w:p>
            <w:pPr>
              <w:pStyle w:val="41"/>
              <w:adjustRightInd w:val="0"/>
              <w:snapToGrid w:val="0"/>
              <w:spacing w:line="360" w:lineRule="exact"/>
              <w:jc w:val="center"/>
              <w:rPr>
                <w:rFonts w:hAnsi="宋体"/>
                <w:color w:val="000000"/>
              </w:rPr>
            </w:pPr>
            <w:r>
              <w:rPr>
                <w:rFonts w:hint="eastAsia" w:hAnsi="宋体"/>
                <w:color w:val="000000"/>
              </w:rPr>
              <w:t>序号</w:t>
            </w:r>
          </w:p>
        </w:tc>
        <w:tc>
          <w:tcPr>
            <w:tcW w:w="2328" w:type="dxa"/>
          </w:tcPr>
          <w:p>
            <w:pPr>
              <w:pStyle w:val="41"/>
              <w:adjustRightInd w:val="0"/>
              <w:snapToGrid w:val="0"/>
              <w:spacing w:line="360" w:lineRule="exact"/>
              <w:jc w:val="center"/>
              <w:rPr>
                <w:rFonts w:hAnsi="宋体"/>
                <w:color w:val="000000"/>
              </w:rPr>
            </w:pPr>
            <w:r>
              <w:rPr>
                <w:rFonts w:hAnsi="宋体"/>
                <w:color w:val="000000"/>
              </w:rPr>
              <w:t>评定项目</w:t>
            </w:r>
          </w:p>
        </w:tc>
        <w:tc>
          <w:tcPr>
            <w:tcW w:w="4639" w:type="dxa"/>
          </w:tcPr>
          <w:p>
            <w:pPr>
              <w:pStyle w:val="41"/>
              <w:adjustRightInd w:val="0"/>
              <w:snapToGrid w:val="0"/>
              <w:spacing w:line="360" w:lineRule="exact"/>
              <w:jc w:val="center"/>
              <w:rPr>
                <w:rFonts w:hAnsi="宋体"/>
                <w:color w:val="000000"/>
              </w:rPr>
            </w:pPr>
            <w:r>
              <w:rPr>
                <w:rFonts w:hint="eastAsia" w:hAnsi="宋体"/>
                <w:color w:val="000000"/>
              </w:rPr>
              <w:t>评分标准</w:t>
            </w:r>
          </w:p>
        </w:tc>
        <w:tc>
          <w:tcPr>
            <w:tcW w:w="1183" w:type="dxa"/>
          </w:tcPr>
          <w:p>
            <w:pPr>
              <w:pStyle w:val="41"/>
              <w:adjustRightInd w:val="0"/>
              <w:snapToGrid w:val="0"/>
              <w:spacing w:line="360" w:lineRule="exact"/>
              <w:jc w:val="center"/>
              <w:rPr>
                <w:rFonts w:hAnsi="宋体"/>
                <w:color w:val="000000"/>
              </w:rPr>
            </w:pPr>
            <w:r>
              <w:rPr>
                <w:rFonts w:hAnsi="宋体"/>
                <w:color w:val="000000"/>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Pr>
          <w:p>
            <w:pPr>
              <w:widowControl/>
              <w:snapToGrid w:val="0"/>
              <w:spacing w:line="360" w:lineRule="exact"/>
              <w:rPr>
                <w:rFonts w:ascii="宋体" w:hAnsi="宋体" w:cs="宋体"/>
                <w:sz w:val="22"/>
              </w:rPr>
            </w:pPr>
            <w:r>
              <w:rPr>
                <w:rFonts w:hint="eastAsia" w:ascii="宋体" w:hAnsi="宋体" w:cs="宋体"/>
                <w:sz w:val="22"/>
              </w:rPr>
              <w:t>1</w:t>
            </w:r>
          </w:p>
        </w:tc>
        <w:tc>
          <w:tcPr>
            <w:tcW w:w="2328" w:type="dxa"/>
            <w:vAlign w:val="center"/>
          </w:tcPr>
          <w:p>
            <w:pPr>
              <w:widowControl/>
              <w:snapToGrid w:val="0"/>
              <w:spacing w:line="360" w:lineRule="exact"/>
              <w:rPr>
                <w:rFonts w:ascii="宋体" w:hAnsi="宋体" w:cs="宋体"/>
                <w:sz w:val="22"/>
              </w:rPr>
            </w:pPr>
            <w:r>
              <w:rPr>
                <w:rFonts w:hint="eastAsia" w:ascii="宋体" w:hAnsi="宋体" w:cs="宋体"/>
                <w:sz w:val="22"/>
              </w:rPr>
              <w:t>企业规模、信誉</w:t>
            </w:r>
          </w:p>
        </w:tc>
        <w:tc>
          <w:tcPr>
            <w:tcW w:w="4639" w:type="dxa"/>
          </w:tcPr>
          <w:p>
            <w:pPr>
              <w:widowControl/>
              <w:snapToGrid w:val="0"/>
              <w:spacing w:line="360" w:lineRule="exact"/>
              <w:jc w:val="center"/>
              <w:rPr>
                <w:rFonts w:ascii="宋体" w:hAnsi="宋体" w:cs="宋体"/>
                <w:sz w:val="22"/>
              </w:rPr>
            </w:pPr>
            <w:r>
              <w:rPr>
                <w:rFonts w:hint="eastAsia" w:ascii="宋体" w:hAnsi="宋体" w:cs="宋体"/>
                <w:sz w:val="22"/>
              </w:rPr>
              <w:t>投标人的企业规模、资质证书、得奖情况及产品质量文件证明等，横向对比后评分。</w:t>
            </w:r>
          </w:p>
        </w:tc>
        <w:tc>
          <w:tcPr>
            <w:tcW w:w="1183" w:type="dxa"/>
            <w:vAlign w:val="center"/>
          </w:tcPr>
          <w:p>
            <w:pPr>
              <w:widowControl/>
              <w:snapToGrid w:val="0"/>
              <w:spacing w:line="360" w:lineRule="exact"/>
              <w:jc w:val="center"/>
              <w:rPr>
                <w:rFonts w:ascii="宋体" w:hAnsi="宋体" w:cs="宋体"/>
                <w:sz w:val="22"/>
              </w:rPr>
            </w:pPr>
            <w:r>
              <w:rPr>
                <w:rFonts w:ascii="宋体" w:hAnsi="宋体" w:cs="宋体"/>
                <w:sz w:val="22"/>
              </w:rPr>
              <w:t>0-</w:t>
            </w:r>
            <w:r>
              <w:rPr>
                <w:rFonts w:hint="eastAsia" w:ascii="宋体" w:hAnsi="宋体" w:cs="宋体"/>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sz w:val="22"/>
              </w:rPr>
            </w:pPr>
            <w:r>
              <w:rPr>
                <w:rFonts w:hint="eastAsia" w:ascii="宋体" w:hAnsi="宋体" w:cs="宋体"/>
                <w:sz w:val="22"/>
              </w:rPr>
              <w:t>2</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sz w:val="22"/>
              </w:rPr>
            </w:pPr>
            <w:r>
              <w:rPr>
                <w:rFonts w:hint="eastAsia" w:ascii="宋体" w:hAnsi="宋体" w:cs="宋体"/>
                <w:sz w:val="22"/>
              </w:rPr>
              <w:t>类似供货、服务业绩</w:t>
            </w:r>
          </w:p>
        </w:tc>
        <w:tc>
          <w:tcPr>
            <w:tcW w:w="4639"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sz w:val="22"/>
              </w:rPr>
            </w:pPr>
            <w:r>
              <w:rPr>
                <w:rFonts w:hint="eastAsia" w:ascii="宋体" w:hAnsi="宋体" w:cs="宋体"/>
                <w:sz w:val="22"/>
              </w:rPr>
              <w:t>投标人签署合同时间或部分供货期在2017年1月1日至投标截止日期有类似供货的，最多得6分，</w:t>
            </w:r>
            <w:r>
              <w:rPr>
                <w:rFonts w:ascii="宋体" w:hAnsi="宋体" w:cs="宋体"/>
                <w:sz w:val="22"/>
              </w:rPr>
              <w:t>须提供合同复印件并加盖公章。</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sz w:val="22"/>
              </w:rPr>
            </w:pPr>
            <w:r>
              <w:rPr>
                <w:rFonts w:ascii="宋体" w:hAnsi="宋体" w:cs="宋体"/>
                <w:sz w:val="22"/>
              </w:rPr>
              <w:t>0-</w:t>
            </w:r>
            <w:r>
              <w:rPr>
                <w:rFonts w:hint="eastAsia" w:ascii="宋体" w:hAnsi="宋体" w:cs="宋体"/>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sz w:val="22"/>
              </w:rPr>
            </w:pPr>
            <w:r>
              <w:rPr>
                <w:rFonts w:hint="eastAsia" w:ascii="宋体" w:hAnsi="宋体" w:cs="宋体"/>
                <w:sz w:val="22"/>
              </w:rPr>
              <w:t>3</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sz w:val="22"/>
              </w:rPr>
            </w:pPr>
            <w:r>
              <w:rPr>
                <w:rFonts w:hint="eastAsia" w:ascii="宋体" w:hAnsi="宋体" w:cs="宋体"/>
                <w:sz w:val="22"/>
              </w:rPr>
              <w:t>服务方案</w:t>
            </w:r>
          </w:p>
        </w:tc>
        <w:tc>
          <w:tcPr>
            <w:tcW w:w="4639"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sz w:val="22"/>
              </w:rPr>
            </w:pPr>
            <w:r>
              <w:rPr>
                <w:rFonts w:hint="eastAsia" w:ascii="宋体" w:hAnsi="宋体" w:cs="宋体"/>
                <w:sz w:val="22"/>
              </w:rPr>
              <w:t>根据投标人提供的保证供货进度方案，货物质量保证措施等横向对比后评分</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sz w:val="22"/>
              </w:rPr>
            </w:pPr>
            <w:r>
              <w:rPr>
                <w:rFonts w:ascii="宋体" w:hAnsi="宋体" w:cs="宋体"/>
                <w:sz w:val="22"/>
              </w:rPr>
              <w:t>0-</w:t>
            </w:r>
            <w:r>
              <w:rPr>
                <w:rFonts w:hint="eastAsia" w:ascii="宋体" w:hAnsi="宋体" w:cs="宋体"/>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sz w:val="22"/>
              </w:rPr>
            </w:pPr>
            <w:r>
              <w:rPr>
                <w:rFonts w:hint="eastAsia" w:ascii="宋体" w:hAnsi="宋体" w:cs="宋体"/>
                <w:sz w:val="22"/>
              </w:rPr>
              <w:t>4</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sz w:val="22"/>
              </w:rPr>
            </w:pPr>
            <w:r>
              <w:rPr>
                <w:rFonts w:hint="eastAsia" w:ascii="宋体" w:hAnsi="宋体" w:cs="宋体"/>
                <w:sz w:val="22"/>
              </w:rPr>
              <w:t>服务能力</w:t>
            </w:r>
          </w:p>
        </w:tc>
        <w:tc>
          <w:tcPr>
            <w:tcW w:w="4639"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sz w:val="22"/>
              </w:rPr>
            </w:pPr>
            <w:r>
              <w:rPr>
                <w:rFonts w:hint="eastAsia" w:ascii="宋体" w:hAnsi="宋体" w:cs="宋体"/>
                <w:sz w:val="22"/>
              </w:rPr>
              <w:t>根据投标文件阐述本地化服务能力、项目技术力量横向对比后评分</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sz w:val="22"/>
              </w:rPr>
            </w:pPr>
            <w:r>
              <w:rPr>
                <w:rFonts w:ascii="宋体" w:hAnsi="宋体" w:cs="宋体"/>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Pr>
          <w:p>
            <w:pPr>
              <w:widowControl/>
              <w:snapToGrid w:val="0"/>
              <w:spacing w:line="360" w:lineRule="exact"/>
              <w:rPr>
                <w:rFonts w:ascii="宋体" w:hAnsi="宋体" w:cs="宋体"/>
                <w:sz w:val="22"/>
              </w:rPr>
            </w:pPr>
            <w:r>
              <w:rPr>
                <w:rFonts w:hint="eastAsia" w:ascii="宋体" w:hAnsi="宋体" w:cs="宋体"/>
                <w:sz w:val="22"/>
              </w:rPr>
              <w:t>5</w:t>
            </w:r>
          </w:p>
        </w:tc>
        <w:tc>
          <w:tcPr>
            <w:tcW w:w="2328" w:type="dxa"/>
            <w:vAlign w:val="center"/>
          </w:tcPr>
          <w:p>
            <w:pPr>
              <w:widowControl/>
              <w:snapToGrid w:val="0"/>
              <w:spacing w:line="360" w:lineRule="exact"/>
              <w:rPr>
                <w:rFonts w:ascii="宋体" w:hAnsi="宋体" w:cs="宋体"/>
                <w:sz w:val="22"/>
              </w:rPr>
            </w:pPr>
            <w:r>
              <w:rPr>
                <w:rFonts w:hint="eastAsia" w:ascii="宋体" w:hAnsi="宋体" w:cs="宋体"/>
                <w:sz w:val="22"/>
              </w:rPr>
              <w:t>售后服务</w:t>
            </w:r>
          </w:p>
        </w:tc>
        <w:tc>
          <w:tcPr>
            <w:tcW w:w="4639" w:type="dxa"/>
          </w:tcPr>
          <w:p>
            <w:pPr>
              <w:widowControl/>
              <w:snapToGrid w:val="0"/>
              <w:spacing w:line="360" w:lineRule="exact"/>
              <w:jc w:val="center"/>
              <w:rPr>
                <w:rFonts w:ascii="宋体" w:hAnsi="宋体" w:cs="宋体"/>
                <w:sz w:val="22"/>
              </w:rPr>
            </w:pPr>
            <w:r>
              <w:rPr>
                <w:rFonts w:hint="eastAsia" w:ascii="宋体" w:hAnsi="宋体" w:cs="宋体"/>
                <w:sz w:val="22"/>
              </w:rPr>
              <w:t>服务响应措施及服务承诺，根据投标文件横向对比后评分</w:t>
            </w:r>
          </w:p>
        </w:tc>
        <w:tc>
          <w:tcPr>
            <w:tcW w:w="1183" w:type="dxa"/>
            <w:vAlign w:val="center"/>
          </w:tcPr>
          <w:p>
            <w:pPr>
              <w:widowControl/>
              <w:snapToGrid w:val="0"/>
              <w:spacing w:line="360" w:lineRule="exact"/>
              <w:jc w:val="center"/>
              <w:rPr>
                <w:rFonts w:ascii="宋体" w:hAnsi="宋体" w:cs="宋体"/>
                <w:sz w:val="22"/>
              </w:rPr>
            </w:pPr>
            <w:r>
              <w:rPr>
                <w:rFonts w:ascii="宋体" w:hAnsi="宋体" w:cs="宋体"/>
                <w:sz w:val="22"/>
              </w:rPr>
              <w:t>0-</w:t>
            </w:r>
            <w:r>
              <w:rPr>
                <w:rFonts w:hint="eastAsia" w:ascii="宋体" w:hAnsi="宋体" w:cs="宋体"/>
                <w:sz w:val="22"/>
              </w:rPr>
              <w:t>5</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0" w:name="_Toc19698499"/>
      <w:r>
        <w:rPr>
          <w:rFonts w:hint="eastAsia"/>
          <w:b w:val="0"/>
          <w:bCs w:val="0"/>
        </w:rPr>
        <w:t>第四章</w:t>
      </w:r>
      <w:r>
        <w:rPr>
          <w:b w:val="0"/>
          <w:bCs w:val="0"/>
        </w:rPr>
        <w:t xml:space="preserve">  </w:t>
      </w:r>
      <w:r>
        <w:rPr>
          <w:rFonts w:hint="eastAsia"/>
          <w:b w:val="0"/>
          <w:bCs w:val="0"/>
        </w:rPr>
        <w:t>合同条款及格式</w:t>
      </w:r>
      <w:bookmarkEnd w:id="30"/>
    </w:p>
    <w:p>
      <w:pPr>
        <w:spacing w:line="360" w:lineRule="auto"/>
        <w:jc w:val="center"/>
        <w:rPr>
          <w:rFonts w:ascii="宋体" w:hAnsi="宋体" w:cs="宋体"/>
          <w:b/>
          <w:sz w:val="22"/>
        </w:rPr>
      </w:pPr>
    </w:p>
    <w:p>
      <w:pPr>
        <w:autoSpaceDE w:val="0"/>
        <w:autoSpaceDN w:val="0"/>
        <w:adjustRightInd w:val="0"/>
        <w:jc w:val="center"/>
        <w:rPr>
          <w:rFonts w:eastAsia="黑体" w:cs="Calibri"/>
          <w:b/>
          <w:sz w:val="48"/>
          <w:szCs w:val="48"/>
        </w:rPr>
      </w:pPr>
      <w:r>
        <w:rPr>
          <w:rFonts w:hint="eastAsia" w:eastAsia="黑体" w:cs="Calibri"/>
          <w:b/>
          <w:sz w:val="48"/>
          <w:szCs w:val="48"/>
        </w:rPr>
        <w:t>杭州萧山国际机场痕量检测仪维修配件及耗材服务供应商框架合同（标段*）</w:t>
      </w:r>
    </w:p>
    <w:p>
      <w:pPr>
        <w:spacing w:line="360" w:lineRule="auto"/>
        <w:jc w:val="center"/>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甲方：</w:t>
      </w:r>
      <w:r>
        <w:rPr>
          <w:rFonts w:ascii="宋体" w:hAnsi="宋体"/>
          <w:szCs w:val="21"/>
        </w:rPr>
        <w:t>杭州萧山国际机场有限公司</w:t>
      </w:r>
    </w:p>
    <w:p>
      <w:pPr>
        <w:adjustRightInd w:val="0"/>
        <w:snapToGrid w:val="0"/>
        <w:spacing w:line="360" w:lineRule="auto"/>
        <w:ind w:firstLine="420" w:firstLineChars="200"/>
        <w:rPr>
          <w:rFonts w:ascii="宋体" w:hAnsi="宋体"/>
          <w:szCs w:val="21"/>
        </w:rPr>
      </w:pPr>
      <w:r>
        <w:rPr>
          <w:rFonts w:hint="eastAsia" w:ascii="宋体" w:hAnsi="宋体"/>
          <w:szCs w:val="21"/>
        </w:rPr>
        <w:t>住所地</w:t>
      </w:r>
      <w:r>
        <w:rPr>
          <w:rFonts w:ascii="宋体" w:hAnsi="宋体"/>
          <w:szCs w:val="21"/>
        </w:rPr>
        <w:t>：杭州萧山国际机场内</w:t>
      </w:r>
    </w:p>
    <w:p>
      <w:pPr>
        <w:adjustRightInd w:val="0"/>
        <w:snapToGrid w:val="0"/>
        <w:spacing w:line="360" w:lineRule="auto"/>
        <w:ind w:firstLine="420" w:firstLineChars="200"/>
        <w:rPr>
          <w:rFonts w:ascii="宋体" w:hAnsi="宋体"/>
          <w:szCs w:val="21"/>
        </w:rPr>
      </w:pPr>
      <w:r>
        <w:rPr>
          <w:rFonts w:hint="eastAsia" w:ascii="宋体" w:hAnsi="宋体"/>
          <w:szCs w:val="21"/>
        </w:rPr>
        <w:t>乙方</w:t>
      </w:r>
      <w:r>
        <w:rPr>
          <w:rFonts w:ascii="宋体" w:hAnsi="宋体"/>
          <w:szCs w:val="21"/>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住所地：</w:t>
      </w:r>
    </w:p>
    <w:p>
      <w:pPr>
        <w:adjustRightInd w:val="0"/>
        <w:snapToGrid w:val="0"/>
        <w:spacing w:line="360"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numPr>
          <w:ilvl w:val="0"/>
          <w:numId w:val="36"/>
        </w:numPr>
        <w:adjustRightInd w:val="0"/>
        <w:snapToGrid w:val="0"/>
        <w:spacing w:line="360" w:lineRule="auto"/>
        <w:ind w:left="840" w:firstLine="422" w:firstLineChars="200"/>
        <w:outlineLvl w:val="2"/>
        <w:rPr>
          <w:rFonts w:ascii="宋体" w:hAnsi="宋体"/>
          <w:b/>
          <w:szCs w:val="21"/>
        </w:rPr>
      </w:pPr>
      <w:bookmarkStart w:id="31" w:name="_Toc419722695"/>
      <w:bookmarkStart w:id="32" w:name="_Toc419722752"/>
      <w:bookmarkStart w:id="33" w:name="_Toc432771965"/>
      <w:r>
        <w:rPr>
          <w:rFonts w:hint="eastAsia" w:ascii="宋体" w:hAnsi="宋体"/>
          <w:b/>
          <w:szCs w:val="21"/>
        </w:rPr>
        <w:t>货物</w:t>
      </w:r>
      <w:r>
        <w:rPr>
          <w:rFonts w:ascii="宋体" w:hAnsi="宋体"/>
          <w:b/>
          <w:szCs w:val="21"/>
        </w:rPr>
        <w:t>内容</w:t>
      </w:r>
      <w:bookmarkEnd w:id="31"/>
      <w:bookmarkEnd w:id="32"/>
      <w:bookmarkEnd w:id="33"/>
    </w:p>
    <w:p>
      <w:pPr>
        <w:adjustRightInd w:val="0"/>
        <w:snapToGrid w:val="0"/>
        <w:spacing w:line="360" w:lineRule="auto"/>
        <w:ind w:firstLine="420" w:firstLineChars="200"/>
        <w:rPr>
          <w:rFonts w:ascii="宋体" w:hAnsi="宋体"/>
          <w:szCs w:val="21"/>
        </w:rPr>
      </w:pPr>
      <w:r>
        <w:rPr>
          <w:rFonts w:hint="eastAsia" w:ascii="宋体" w:hAnsi="宋体"/>
          <w:szCs w:val="21"/>
        </w:rPr>
        <w:t xml:space="preserve">1．乙方同意向甲方提供**型痕量检测仪的配件、耗材及维修服务，包括项目清单详见附件【3】）所列内容。 </w:t>
      </w:r>
    </w:p>
    <w:p>
      <w:pPr>
        <w:adjustRightInd w:val="0"/>
        <w:snapToGrid w:val="0"/>
        <w:spacing w:line="360" w:lineRule="auto"/>
        <w:ind w:firstLine="420" w:firstLineChars="200"/>
        <w:rPr>
          <w:rFonts w:ascii="宋体" w:hAnsi="宋体"/>
          <w:szCs w:val="21"/>
        </w:rPr>
      </w:pPr>
      <w:r>
        <w:rPr>
          <w:rFonts w:hint="eastAsia" w:ascii="宋体" w:hAnsi="宋体"/>
          <w:szCs w:val="21"/>
        </w:rPr>
        <w:t>2．乙方对甲方的服务区域：杭州萧山</w:t>
      </w:r>
      <w:r>
        <w:rPr>
          <w:rFonts w:ascii="宋体" w:hAnsi="宋体"/>
          <w:szCs w:val="21"/>
        </w:rPr>
        <w:t>国际机场</w:t>
      </w:r>
      <w:r>
        <w:rPr>
          <w:rFonts w:hint="eastAsia" w:ascii="宋体" w:hAnsi="宋体"/>
          <w:szCs w:val="21"/>
        </w:rPr>
        <w:t>内。</w:t>
      </w:r>
    </w:p>
    <w:p>
      <w:pPr>
        <w:numPr>
          <w:ilvl w:val="0"/>
          <w:numId w:val="36"/>
        </w:numPr>
        <w:adjustRightInd w:val="0"/>
        <w:snapToGrid w:val="0"/>
        <w:spacing w:line="360" w:lineRule="auto"/>
        <w:ind w:left="840" w:firstLine="282" w:firstLineChars="134"/>
        <w:outlineLvl w:val="2"/>
        <w:rPr>
          <w:rFonts w:ascii="宋体" w:hAnsi="宋体"/>
          <w:b/>
          <w:szCs w:val="21"/>
        </w:rPr>
      </w:pPr>
      <w:bookmarkStart w:id="34" w:name="_Toc419722696"/>
      <w:bookmarkStart w:id="35" w:name="_Toc419722753"/>
      <w:bookmarkStart w:id="36" w:name="_Toc432771966"/>
      <w:r>
        <w:rPr>
          <w:rFonts w:hint="eastAsia" w:ascii="宋体" w:hAnsi="宋体"/>
          <w:b/>
          <w:szCs w:val="21"/>
        </w:rPr>
        <w:t>合同金额</w:t>
      </w:r>
      <w:bookmarkEnd w:id="34"/>
      <w:bookmarkEnd w:id="35"/>
      <w:bookmarkEnd w:id="36"/>
    </w:p>
    <w:p>
      <w:pPr>
        <w:adjustRightInd w:val="0"/>
        <w:snapToGrid w:val="0"/>
        <w:spacing w:line="360" w:lineRule="auto"/>
        <w:ind w:firstLine="420" w:firstLineChars="200"/>
        <w:rPr>
          <w:rFonts w:ascii="宋体" w:hAnsi="宋体"/>
          <w:szCs w:val="21"/>
        </w:rPr>
      </w:pPr>
      <w:r>
        <w:rPr>
          <w:rFonts w:hint="eastAsia" w:ascii="宋体" w:hAnsi="宋体"/>
          <w:szCs w:val="21"/>
        </w:rPr>
        <w:t>1．本协议</w:t>
      </w:r>
      <w:r>
        <w:rPr>
          <w:rFonts w:ascii="宋体" w:hAnsi="宋体"/>
          <w:szCs w:val="21"/>
        </w:rPr>
        <w:t>为框架协议</w:t>
      </w:r>
      <w:r>
        <w:rPr>
          <w:rFonts w:hint="eastAsia" w:ascii="宋体" w:hAnsi="宋体"/>
          <w:szCs w:val="21"/>
        </w:rPr>
        <w:t>，将根据实际采购量按固定单价进行单结算</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．甲方每次向乙方采购货物，以采购订单（加盖</w:t>
      </w:r>
      <w:r>
        <w:rPr>
          <w:rFonts w:ascii="宋体" w:hAnsi="宋体"/>
          <w:szCs w:val="21"/>
        </w:rPr>
        <w:t>部门印章</w:t>
      </w:r>
      <w:r>
        <w:rPr>
          <w:rFonts w:hint="eastAsia" w:ascii="宋体" w:hAnsi="宋体"/>
          <w:szCs w:val="21"/>
        </w:rPr>
        <w:t>）的形式详列明具体耗材的名称、品牌、型号、数量、</w:t>
      </w:r>
      <w:r>
        <w:rPr>
          <w:rFonts w:ascii="宋体" w:hAnsi="宋体"/>
          <w:szCs w:val="21"/>
        </w:rPr>
        <w:t>联系人</w:t>
      </w:r>
      <w:r>
        <w:rPr>
          <w:rFonts w:hint="eastAsia" w:ascii="宋体" w:hAnsi="宋体"/>
          <w:szCs w:val="21"/>
        </w:rPr>
        <w:t>等情况。</w:t>
      </w:r>
    </w:p>
    <w:p>
      <w:pPr>
        <w:adjustRightInd w:val="0"/>
        <w:snapToGrid w:val="0"/>
        <w:spacing w:line="360" w:lineRule="auto"/>
        <w:ind w:firstLine="420" w:firstLineChars="200"/>
        <w:rPr>
          <w:rFonts w:ascii="宋体" w:hAnsi="宋体"/>
          <w:szCs w:val="21"/>
        </w:rPr>
      </w:pPr>
      <w:r>
        <w:rPr>
          <w:rFonts w:hint="eastAsia" w:ascii="宋体" w:hAnsi="宋体"/>
          <w:szCs w:val="21"/>
        </w:rPr>
        <w:t>3．价格表：具体详见附件【3】。本合同金额为固定单价合同。本合同价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360" w:lineRule="auto"/>
        <w:ind w:firstLine="420" w:firstLineChars="200"/>
        <w:rPr>
          <w:rFonts w:ascii="宋体" w:hAnsi="宋体"/>
          <w:szCs w:val="21"/>
        </w:rPr>
      </w:pPr>
      <w:r>
        <w:rPr>
          <w:rFonts w:hint="eastAsia" w:ascii="宋体" w:hAnsi="宋体"/>
          <w:szCs w:val="21"/>
        </w:rPr>
        <w:t>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360" w:lineRule="auto"/>
        <w:ind w:firstLine="420" w:firstLineChars="200"/>
        <w:rPr>
          <w:rFonts w:ascii="宋体" w:hAnsi="宋体"/>
          <w:szCs w:val="21"/>
        </w:rPr>
      </w:pPr>
      <w:r>
        <w:rPr>
          <w:rFonts w:hint="eastAsia" w:ascii="宋体" w:hAnsi="宋体"/>
          <w:kern w:val="0"/>
          <w:szCs w:val="21"/>
        </w:rPr>
        <w:t xml:space="preserve">4. </w:t>
      </w:r>
      <w:r>
        <w:rPr>
          <w:rFonts w:hint="eastAsia" w:ascii="宋体" w:hAnsi="宋体"/>
          <w:sz w:val="22"/>
          <w:u w:val="single"/>
        </w:rPr>
        <w:t>在合同有效期限内，若因国家税收政策调整而引起的增值税税率变化的，应按照国家税收政策调整，合同总价变更为原合同不含增值税服务或货物销售额与新增值税税率计算税额的合计金额。</w:t>
      </w:r>
    </w:p>
    <w:p>
      <w:pPr>
        <w:numPr>
          <w:ilvl w:val="0"/>
          <w:numId w:val="36"/>
        </w:numPr>
        <w:adjustRightInd w:val="0"/>
        <w:snapToGrid w:val="0"/>
        <w:spacing w:line="360" w:lineRule="auto"/>
        <w:ind w:left="424" w:leftChars="202" w:firstLine="282" w:firstLineChars="134"/>
        <w:outlineLvl w:val="2"/>
        <w:rPr>
          <w:rFonts w:ascii="宋体" w:hAnsi="宋体"/>
          <w:b/>
          <w:szCs w:val="21"/>
        </w:rPr>
      </w:pPr>
      <w:bookmarkStart w:id="37" w:name="_Toc432771967"/>
      <w:bookmarkStart w:id="38" w:name="_Toc419722697"/>
      <w:bookmarkStart w:id="39" w:name="_Toc419722754"/>
      <w:r>
        <w:rPr>
          <w:rFonts w:ascii="宋体" w:hAnsi="宋体"/>
          <w:b/>
          <w:szCs w:val="21"/>
        </w:rPr>
        <w:t>支付方式</w:t>
      </w:r>
      <w:bookmarkEnd w:id="37"/>
      <w:bookmarkEnd w:id="38"/>
      <w:bookmarkEnd w:id="39"/>
    </w:p>
    <w:p>
      <w:pPr>
        <w:adjustRightInd w:val="0"/>
        <w:snapToGrid w:val="0"/>
        <w:spacing w:line="360" w:lineRule="auto"/>
        <w:ind w:firstLine="420" w:firstLineChars="200"/>
        <w:rPr>
          <w:rFonts w:ascii="宋体" w:hAnsi="宋体"/>
          <w:szCs w:val="21"/>
        </w:rPr>
      </w:pPr>
      <w:r>
        <w:rPr>
          <w:rFonts w:hint="eastAsia" w:ascii="宋体" w:hAnsi="宋体"/>
          <w:szCs w:val="21"/>
        </w:rPr>
        <w:t>1．按单次进行结算，以双方采购清单为依据。</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．每次付款前乙方必须向甲方开具以甲方为对象的合法等额</w:t>
      </w:r>
      <w:r>
        <w:rPr>
          <w:rFonts w:hint="eastAsia" w:ascii="宋体" w:hAnsi="宋体"/>
          <w:kern w:val="0"/>
          <w:szCs w:val="21"/>
        </w:rPr>
        <w:t>的税率为13%的</w:t>
      </w:r>
      <w:r>
        <w:rPr>
          <w:rFonts w:hint="eastAsia" w:ascii="宋体" w:hAnsi="宋体"/>
          <w:szCs w:val="21"/>
        </w:rPr>
        <w:t>增值税</w:t>
      </w:r>
      <w:r>
        <w:rPr>
          <w:rFonts w:ascii="宋体" w:hAnsi="宋体"/>
          <w:szCs w:val="21"/>
        </w:rPr>
        <w:t>专用</w:t>
      </w:r>
      <w:r>
        <w:rPr>
          <w:rFonts w:hint="eastAsia" w:ascii="宋体" w:hAnsi="宋体"/>
          <w:szCs w:val="21"/>
        </w:rPr>
        <w:t xml:space="preserve">发票，甲方在收到乙方发票且经甲方验收货物合格后20个工作日内付清该笔款项。 </w:t>
      </w:r>
    </w:p>
    <w:p>
      <w:pPr>
        <w:numPr>
          <w:ilvl w:val="0"/>
          <w:numId w:val="36"/>
        </w:numPr>
        <w:adjustRightInd w:val="0"/>
        <w:snapToGrid w:val="0"/>
        <w:spacing w:line="360" w:lineRule="auto"/>
        <w:ind w:left="840" w:firstLine="422" w:firstLineChars="200"/>
        <w:outlineLvl w:val="2"/>
        <w:rPr>
          <w:rFonts w:ascii="宋体" w:hAnsi="宋体"/>
          <w:b/>
          <w:szCs w:val="21"/>
          <w:highlight w:val="yellow"/>
        </w:rPr>
      </w:pPr>
      <w:bookmarkStart w:id="40" w:name="_Toc419722755"/>
      <w:bookmarkStart w:id="41" w:name="_Toc419722698"/>
      <w:bookmarkStart w:id="42" w:name="_Toc432771968"/>
      <w:r>
        <w:rPr>
          <w:rFonts w:hint="eastAsia" w:ascii="宋体" w:hAnsi="宋体"/>
          <w:b/>
          <w:szCs w:val="21"/>
          <w:highlight w:val="yellow"/>
        </w:rPr>
        <w:t>履约保证金</w:t>
      </w:r>
    </w:p>
    <w:p>
      <w:pPr>
        <w:adjustRightInd w:val="0"/>
        <w:snapToGrid w:val="0"/>
        <w:spacing w:line="360" w:lineRule="auto"/>
        <w:ind w:firstLine="420" w:firstLineChars="200"/>
        <w:rPr>
          <w:rFonts w:ascii="仿宋_GB2312" w:hAnsi="仿宋" w:eastAsia="仿宋_GB2312"/>
          <w:sz w:val="28"/>
          <w:szCs w:val="28"/>
          <w:highlight w:val="yellow"/>
        </w:rPr>
      </w:pPr>
      <w:r>
        <w:rPr>
          <w:rFonts w:hint="eastAsia" w:ascii="宋体" w:hAnsi="宋体"/>
          <w:szCs w:val="21"/>
          <w:highlight w:val="yellow"/>
        </w:rPr>
        <w:t>1.乙方应在收到甲方中标通知书后【15】日内，向甲方支付¥20000元（人民币贰万元整）作为履约保证金。如果逾期未缴纳，甲方有权解除本合同，并要求乙方承担由此给甲方造成的损失。</w:t>
      </w:r>
    </w:p>
    <w:p>
      <w:pPr>
        <w:adjustRightInd w:val="0"/>
        <w:snapToGrid w:val="0"/>
        <w:spacing w:line="360" w:lineRule="auto"/>
        <w:ind w:firstLine="420" w:firstLineChars="200"/>
        <w:rPr>
          <w:rFonts w:ascii="宋体" w:hAnsi="宋体"/>
          <w:b/>
          <w:szCs w:val="21"/>
        </w:rPr>
      </w:pPr>
      <w:r>
        <w:rPr>
          <w:rFonts w:hint="eastAsia" w:ascii="宋体" w:hAnsi="宋体"/>
          <w:szCs w:val="21"/>
          <w:highlight w:val="yellow"/>
        </w:rPr>
        <w:t>2.在合同履行期间，如果乙方存在违约情形，甲方有权优先从履约保证金中扣除相应款项，并书面通知乙方。乙方自收到书面通知之日起【15】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numPr>
          <w:ilvl w:val="0"/>
          <w:numId w:val="36"/>
        </w:numPr>
        <w:adjustRightInd w:val="0"/>
        <w:snapToGrid w:val="0"/>
        <w:spacing w:line="360" w:lineRule="auto"/>
        <w:ind w:left="840" w:firstLine="422" w:firstLineChars="200"/>
        <w:outlineLvl w:val="2"/>
        <w:rPr>
          <w:rFonts w:ascii="宋体" w:hAnsi="宋体"/>
          <w:b/>
          <w:szCs w:val="21"/>
        </w:rPr>
      </w:pPr>
      <w:r>
        <w:rPr>
          <w:rFonts w:hint="eastAsia" w:ascii="宋体" w:hAnsi="宋体"/>
          <w:b/>
          <w:szCs w:val="21"/>
        </w:rPr>
        <w:t>合同期限</w:t>
      </w:r>
      <w:bookmarkEnd w:id="40"/>
      <w:bookmarkEnd w:id="41"/>
      <w:bookmarkEnd w:id="42"/>
    </w:p>
    <w:p>
      <w:pPr>
        <w:adjustRightInd w:val="0"/>
        <w:snapToGrid w:val="0"/>
        <w:spacing w:line="360" w:lineRule="auto"/>
        <w:ind w:firstLine="420" w:firstLineChars="200"/>
        <w:rPr>
          <w:rFonts w:ascii="宋体" w:hAnsi="宋体"/>
          <w:szCs w:val="21"/>
        </w:rPr>
      </w:pPr>
      <w:r>
        <w:rPr>
          <w:rFonts w:hint="eastAsia"/>
        </w:rPr>
        <w:t>本项目服务期为</w:t>
      </w:r>
      <w:r>
        <w:rPr>
          <w:rFonts w:hint="eastAsia" w:ascii="宋体" w:hAnsi="宋体" w:cs="Arial"/>
          <w:kern w:val="0"/>
          <w:sz w:val="22"/>
        </w:rPr>
        <w:t>2年，自【】年【】月【】日至【】年【】月【】日</w:t>
      </w:r>
      <w:r>
        <w:rPr>
          <w:rFonts w:ascii="宋体" w:hAnsi="宋体" w:cs="Arial"/>
          <w:kern w:val="0"/>
          <w:sz w:val="22"/>
        </w:rPr>
        <w:t>。</w:t>
      </w:r>
      <w:r>
        <w:rPr>
          <w:rFonts w:hint="eastAsia" w:ascii="宋体" w:hAnsi="宋体" w:cs="宋体"/>
          <w:snapToGrid w:val="0"/>
          <w:kern w:val="0"/>
          <w:szCs w:val="21"/>
        </w:rPr>
        <w:t>第一年期限届满60日前，由招标人按照《考核细则》对乙方进行考核，考核结果达到85分视为考核合格。如考核结果不合格，则招标人有权解除合同，并有权要求本项目的中标人赔偿后一年因更换承包商所产生的高于原合同费用的差价、交通费、招标代理费、诉讼费、律师费等费用。</w:t>
      </w:r>
    </w:p>
    <w:p>
      <w:pPr>
        <w:numPr>
          <w:ilvl w:val="0"/>
          <w:numId w:val="36"/>
        </w:numPr>
        <w:adjustRightInd w:val="0"/>
        <w:snapToGrid w:val="0"/>
        <w:spacing w:line="360" w:lineRule="auto"/>
        <w:ind w:left="840" w:firstLine="422" w:firstLineChars="200"/>
        <w:outlineLvl w:val="2"/>
        <w:rPr>
          <w:rFonts w:ascii="宋体" w:hAnsi="宋体"/>
          <w:b/>
          <w:szCs w:val="21"/>
        </w:rPr>
      </w:pPr>
      <w:bookmarkStart w:id="43" w:name="_Toc419722756"/>
      <w:bookmarkStart w:id="44" w:name="_Toc419722699"/>
      <w:bookmarkStart w:id="45" w:name="_Toc432771969"/>
      <w:r>
        <w:rPr>
          <w:rFonts w:hint="eastAsia" w:ascii="宋体" w:hAnsi="宋体"/>
          <w:b/>
          <w:szCs w:val="21"/>
        </w:rPr>
        <w:t>技术资料</w:t>
      </w:r>
      <w:bookmarkEnd w:id="43"/>
      <w:bookmarkEnd w:id="44"/>
      <w:bookmarkEnd w:id="45"/>
    </w:p>
    <w:p>
      <w:pPr>
        <w:adjustRightInd w:val="0"/>
        <w:snapToGrid w:val="0"/>
        <w:spacing w:line="360" w:lineRule="auto"/>
        <w:ind w:firstLine="420" w:firstLineChars="200"/>
        <w:rPr>
          <w:rFonts w:ascii="宋体" w:hAnsi="宋体"/>
          <w:szCs w:val="21"/>
        </w:rPr>
      </w:pPr>
      <w:r>
        <w:rPr>
          <w:rFonts w:hint="eastAsia" w:ascii="宋体" w:hAnsi="宋体"/>
          <w:szCs w:val="21"/>
        </w:rPr>
        <w:t>1.乙方应在移交合同货物时向甲方提供使用货物的有关技术资料。</w:t>
      </w:r>
    </w:p>
    <w:p>
      <w:pPr>
        <w:adjustRightInd w:val="0"/>
        <w:snapToGrid w:val="0"/>
        <w:spacing w:line="360" w:lineRule="auto"/>
        <w:ind w:firstLine="420" w:firstLineChars="200"/>
        <w:rPr>
          <w:rFonts w:ascii="宋体" w:hAnsi="宋体"/>
          <w:szCs w:val="21"/>
        </w:rPr>
      </w:pPr>
      <w:r>
        <w:rPr>
          <w:rFonts w:hint="eastAsia" w:ascii="宋体" w:hAnsi="宋体"/>
          <w:szCs w:val="21"/>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numPr>
          <w:ilvl w:val="0"/>
          <w:numId w:val="36"/>
        </w:numPr>
        <w:adjustRightInd w:val="0"/>
        <w:snapToGrid w:val="0"/>
        <w:spacing w:line="360" w:lineRule="auto"/>
        <w:ind w:left="840" w:firstLine="565" w:firstLineChars="268"/>
        <w:outlineLvl w:val="2"/>
        <w:rPr>
          <w:rFonts w:ascii="宋体" w:hAnsi="宋体"/>
          <w:b/>
          <w:szCs w:val="21"/>
        </w:rPr>
      </w:pPr>
      <w:bookmarkStart w:id="46" w:name="_Toc419722757"/>
      <w:bookmarkStart w:id="47" w:name="_Toc419722700"/>
      <w:bookmarkStart w:id="48" w:name="_Toc432771970"/>
      <w:r>
        <w:rPr>
          <w:rFonts w:hint="eastAsia" w:ascii="宋体" w:hAnsi="宋体"/>
          <w:b/>
          <w:szCs w:val="21"/>
        </w:rPr>
        <w:t>知识产权</w:t>
      </w:r>
      <w:bookmarkEnd w:id="46"/>
      <w:bookmarkEnd w:id="47"/>
      <w:bookmarkEnd w:id="48"/>
    </w:p>
    <w:p>
      <w:pPr>
        <w:adjustRightInd w:val="0"/>
        <w:snapToGrid w:val="0"/>
        <w:spacing w:line="360" w:lineRule="auto"/>
        <w:ind w:firstLine="420" w:firstLineChars="200"/>
        <w:rPr>
          <w:rFonts w:ascii="宋体" w:hAnsi="宋体"/>
          <w:szCs w:val="21"/>
        </w:rPr>
      </w:pPr>
      <w:r>
        <w:rPr>
          <w:rFonts w:hint="eastAsia" w:ascii="宋体" w:hAnsi="宋体"/>
          <w:szCs w:val="21"/>
        </w:rPr>
        <w:t>乙方应保证所提供的货物或其任何一部分均不会侵犯任何第三方的知识产权。如因乙方违反本条保证并导致甲方遭受损失的，乙方须向甲方承担赔偿责任。</w:t>
      </w:r>
    </w:p>
    <w:p>
      <w:pPr>
        <w:numPr>
          <w:ilvl w:val="0"/>
          <w:numId w:val="36"/>
        </w:numPr>
        <w:adjustRightInd w:val="0"/>
        <w:snapToGrid w:val="0"/>
        <w:spacing w:line="360" w:lineRule="auto"/>
        <w:ind w:left="424" w:leftChars="202" w:firstLine="287" w:firstLineChars="136"/>
        <w:outlineLvl w:val="2"/>
        <w:rPr>
          <w:rFonts w:ascii="宋体" w:hAnsi="宋体"/>
          <w:b/>
          <w:szCs w:val="21"/>
        </w:rPr>
      </w:pPr>
      <w:bookmarkStart w:id="49" w:name="_Toc432771971"/>
      <w:bookmarkStart w:id="50" w:name="_Toc419722758"/>
      <w:bookmarkStart w:id="51" w:name="_Toc419722701"/>
      <w:r>
        <w:rPr>
          <w:rFonts w:hint="eastAsia" w:ascii="宋体" w:hAnsi="宋体"/>
          <w:b/>
          <w:szCs w:val="21"/>
        </w:rPr>
        <w:t>产权担保</w:t>
      </w:r>
      <w:bookmarkEnd w:id="49"/>
      <w:bookmarkEnd w:id="50"/>
      <w:bookmarkEnd w:id="51"/>
    </w:p>
    <w:p>
      <w:pPr>
        <w:adjustRightInd w:val="0"/>
        <w:snapToGrid w:val="0"/>
        <w:spacing w:line="360" w:lineRule="auto"/>
        <w:ind w:firstLine="420" w:firstLineChars="200"/>
        <w:rPr>
          <w:rFonts w:ascii="宋体" w:hAnsi="宋体"/>
          <w:szCs w:val="21"/>
        </w:rPr>
      </w:pPr>
      <w:r>
        <w:rPr>
          <w:rFonts w:hint="eastAsia" w:ascii="宋体" w:hAnsi="宋体"/>
          <w:szCs w:val="21"/>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numPr>
          <w:ilvl w:val="0"/>
          <w:numId w:val="36"/>
        </w:numPr>
        <w:adjustRightInd w:val="0"/>
        <w:snapToGrid w:val="0"/>
        <w:spacing w:line="360" w:lineRule="auto"/>
        <w:ind w:left="840" w:firstLine="422" w:firstLineChars="200"/>
        <w:outlineLvl w:val="2"/>
        <w:rPr>
          <w:rFonts w:ascii="宋体" w:hAnsi="宋体"/>
          <w:b/>
          <w:szCs w:val="21"/>
        </w:rPr>
      </w:pPr>
      <w:bookmarkStart w:id="52" w:name="_Toc419722702"/>
      <w:bookmarkStart w:id="53" w:name="_Toc432771972"/>
      <w:bookmarkStart w:id="54" w:name="_Toc419722759"/>
      <w:r>
        <w:rPr>
          <w:rFonts w:hint="eastAsia" w:ascii="宋体" w:hAnsi="宋体"/>
          <w:b/>
          <w:szCs w:val="21"/>
        </w:rPr>
        <w:t>转包或分包</w:t>
      </w:r>
      <w:bookmarkEnd w:id="52"/>
      <w:bookmarkEnd w:id="53"/>
      <w:bookmarkEnd w:id="54"/>
    </w:p>
    <w:p>
      <w:pPr>
        <w:adjustRightInd w:val="0"/>
        <w:snapToGrid w:val="0"/>
        <w:spacing w:line="360" w:lineRule="auto"/>
        <w:ind w:firstLine="420" w:firstLineChars="200"/>
        <w:rPr>
          <w:rFonts w:ascii="宋体" w:hAnsi="宋体"/>
          <w:szCs w:val="21"/>
        </w:rPr>
      </w:pPr>
      <w:r>
        <w:rPr>
          <w:rFonts w:hint="eastAsia" w:ascii="宋体" w:hAnsi="宋体"/>
          <w:szCs w:val="21"/>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auto"/>
        <w:ind w:firstLine="420" w:firstLineChars="200"/>
        <w:rPr>
          <w:rFonts w:ascii="宋体" w:hAnsi="宋体"/>
          <w:szCs w:val="21"/>
        </w:rPr>
      </w:pPr>
      <w:r>
        <w:rPr>
          <w:rFonts w:hint="eastAsia" w:ascii="宋体" w:hAnsi="宋体"/>
          <w:szCs w:val="21"/>
        </w:rPr>
        <w:t>2.如有未经甲方书面同意的转让和分包行为，甲方有权解除合同，并有权没收乙方的全额履约保证金。</w:t>
      </w:r>
    </w:p>
    <w:p>
      <w:pPr>
        <w:numPr>
          <w:ilvl w:val="0"/>
          <w:numId w:val="36"/>
        </w:numPr>
        <w:adjustRightInd w:val="0"/>
        <w:snapToGrid w:val="0"/>
        <w:spacing w:line="360" w:lineRule="auto"/>
        <w:ind w:left="840" w:firstLine="422" w:firstLineChars="200"/>
        <w:outlineLvl w:val="2"/>
        <w:rPr>
          <w:rFonts w:ascii="宋体" w:hAnsi="宋体"/>
          <w:b/>
          <w:szCs w:val="21"/>
        </w:rPr>
      </w:pPr>
      <w:bookmarkStart w:id="55" w:name="_Toc419722703"/>
      <w:bookmarkStart w:id="56" w:name="_Toc432771973"/>
      <w:bookmarkStart w:id="57" w:name="_Toc419722760"/>
      <w:r>
        <w:rPr>
          <w:rFonts w:hint="eastAsia" w:ascii="宋体" w:hAnsi="宋体"/>
          <w:b/>
          <w:szCs w:val="21"/>
        </w:rPr>
        <w:t>货物包装、发运及运输</w:t>
      </w:r>
      <w:bookmarkEnd w:id="55"/>
      <w:bookmarkEnd w:id="56"/>
      <w:bookmarkEnd w:id="57"/>
    </w:p>
    <w:p>
      <w:pPr>
        <w:adjustRightInd w:val="0"/>
        <w:snapToGrid w:val="0"/>
        <w:spacing w:line="360" w:lineRule="auto"/>
        <w:ind w:firstLine="420" w:firstLineChars="200"/>
        <w:rPr>
          <w:rFonts w:ascii="宋体" w:hAnsi="宋体"/>
          <w:szCs w:val="21"/>
        </w:rPr>
      </w:pPr>
      <w:r>
        <w:rPr>
          <w:rFonts w:hint="eastAsia" w:ascii="宋体" w:hAnsi="宋体"/>
          <w:szCs w:val="21"/>
        </w:rPr>
        <w:t>1. 乙方应在货物发运前对其按满足运输距离、防潮、防震、防锈和防破损装卸等要求进行包装，以保证货物安全运达甲方指定地点。</w:t>
      </w:r>
    </w:p>
    <w:p>
      <w:pPr>
        <w:adjustRightInd w:val="0"/>
        <w:snapToGrid w:val="0"/>
        <w:spacing w:line="360" w:lineRule="auto"/>
        <w:ind w:firstLine="420" w:firstLineChars="200"/>
        <w:rPr>
          <w:rFonts w:ascii="宋体" w:hAnsi="宋体"/>
          <w:szCs w:val="21"/>
        </w:rPr>
      </w:pPr>
      <w:r>
        <w:rPr>
          <w:rFonts w:hint="eastAsia" w:ascii="宋体" w:hAnsi="宋体"/>
          <w:szCs w:val="21"/>
        </w:rPr>
        <w:t>2. 保持货物完整，若有使用说明书等随配附件一并附于货物内。</w:t>
      </w:r>
    </w:p>
    <w:p>
      <w:pPr>
        <w:adjustRightInd w:val="0"/>
        <w:snapToGrid w:val="0"/>
        <w:spacing w:line="360" w:lineRule="auto"/>
        <w:ind w:firstLine="420" w:firstLineChars="200"/>
        <w:rPr>
          <w:rFonts w:ascii="宋体" w:hAnsi="宋体"/>
          <w:szCs w:val="21"/>
        </w:rPr>
      </w:pPr>
      <w:r>
        <w:rPr>
          <w:rFonts w:hint="eastAsia" w:ascii="宋体" w:hAnsi="宋体"/>
          <w:szCs w:val="21"/>
        </w:rPr>
        <w:t>3. 货物在本合同规定的交货地点交付甲方前发生的一切风险包括货物运输风险均由乙方负责。</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．货物在规定的交付期限内由乙方送达甲方指定的交货地点并经甲方签收后视为交付。</w:t>
      </w:r>
    </w:p>
    <w:p>
      <w:pPr>
        <w:adjustRightInd w:val="0"/>
        <w:snapToGrid w:val="0"/>
        <w:spacing w:line="360" w:lineRule="auto"/>
        <w:ind w:firstLine="420" w:firstLineChars="200"/>
        <w:rPr>
          <w:rFonts w:ascii="宋体" w:hAnsi="宋体"/>
          <w:szCs w:val="21"/>
        </w:rPr>
      </w:pPr>
      <w:r>
        <w:rPr>
          <w:rFonts w:hint="eastAsia" w:ascii="宋体" w:hAnsi="宋体"/>
          <w:szCs w:val="21"/>
        </w:rPr>
        <w:t>5. 交货期与交货方式：乙方每次在接到甲方根据本合同发出的采购通知单之日起【7】日内将货物送到甲方指定地点。</w:t>
      </w:r>
    </w:p>
    <w:p>
      <w:pPr>
        <w:adjustRightInd w:val="0"/>
        <w:snapToGrid w:val="0"/>
        <w:spacing w:line="360" w:lineRule="auto"/>
        <w:ind w:firstLine="420" w:firstLineChars="200"/>
        <w:rPr>
          <w:rFonts w:ascii="宋体" w:hAnsi="宋体"/>
          <w:szCs w:val="21"/>
        </w:rPr>
      </w:pPr>
      <w:r>
        <w:rPr>
          <w:rFonts w:hint="eastAsia" w:ascii="宋体" w:hAnsi="宋体"/>
          <w:szCs w:val="21"/>
        </w:rPr>
        <w:t>6. 交货地点：杭州萧山国际机场内</w:t>
      </w:r>
    </w:p>
    <w:p>
      <w:pPr>
        <w:numPr>
          <w:ilvl w:val="0"/>
          <w:numId w:val="36"/>
        </w:numPr>
        <w:adjustRightInd w:val="0"/>
        <w:snapToGrid w:val="0"/>
        <w:spacing w:line="360" w:lineRule="auto"/>
        <w:ind w:left="840" w:firstLine="422" w:firstLineChars="200"/>
        <w:outlineLvl w:val="2"/>
        <w:rPr>
          <w:rFonts w:ascii="宋体" w:hAnsi="宋体"/>
          <w:b/>
          <w:szCs w:val="21"/>
        </w:rPr>
      </w:pPr>
      <w:bookmarkStart w:id="58" w:name="_Toc419722763"/>
      <w:bookmarkStart w:id="59" w:name="_Toc432771976"/>
      <w:bookmarkStart w:id="60" w:name="_Toc419722706"/>
      <w:r>
        <w:rPr>
          <w:rFonts w:hint="eastAsia" w:ascii="宋体" w:hAnsi="宋体"/>
          <w:b/>
          <w:szCs w:val="21"/>
        </w:rPr>
        <w:t>税费</w:t>
      </w:r>
      <w:bookmarkEnd w:id="58"/>
      <w:bookmarkEnd w:id="59"/>
      <w:bookmarkEnd w:id="60"/>
    </w:p>
    <w:p>
      <w:pPr>
        <w:adjustRightInd w:val="0"/>
        <w:snapToGrid w:val="0"/>
        <w:spacing w:line="360" w:lineRule="auto"/>
        <w:ind w:firstLine="420" w:firstLineChars="200"/>
        <w:rPr>
          <w:rFonts w:ascii="宋体" w:hAnsi="宋体"/>
          <w:szCs w:val="21"/>
        </w:rPr>
      </w:pPr>
      <w:bookmarkStart w:id="61" w:name="_Toc419722707"/>
      <w:bookmarkStart w:id="62" w:name="_Toc419722764"/>
      <w:bookmarkStart w:id="63" w:name="_Toc432771977"/>
      <w:r>
        <w:rPr>
          <w:rFonts w:hint="eastAsia" w:ascii="宋体" w:hAnsi="宋体"/>
          <w:szCs w:val="21"/>
        </w:rPr>
        <w:t>本合同执行中相关的一切税费均由乙方负担</w:t>
      </w:r>
    </w:p>
    <w:p>
      <w:pPr>
        <w:numPr>
          <w:ilvl w:val="0"/>
          <w:numId w:val="36"/>
        </w:numPr>
        <w:adjustRightInd w:val="0"/>
        <w:snapToGrid w:val="0"/>
        <w:spacing w:line="360" w:lineRule="auto"/>
        <w:ind w:left="840" w:firstLine="422" w:firstLineChars="200"/>
        <w:outlineLvl w:val="2"/>
        <w:rPr>
          <w:rFonts w:ascii="宋体" w:hAnsi="宋体"/>
          <w:b/>
          <w:szCs w:val="21"/>
          <w:highlight w:val="yellow"/>
        </w:rPr>
      </w:pPr>
      <w:r>
        <w:rPr>
          <w:rFonts w:hint="eastAsia" w:ascii="宋体" w:hAnsi="宋体"/>
          <w:b/>
          <w:szCs w:val="21"/>
          <w:highlight w:val="yellow"/>
        </w:rPr>
        <w:t>质量保证及售后服务</w:t>
      </w:r>
      <w:bookmarkEnd w:id="61"/>
      <w:bookmarkEnd w:id="62"/>
      <w:bookmarkEnd w:id="63"/>
    </w:p>
    <w:p>
      <w:pPr>
        <w:adjustRightInd w:val="0"/>
        <w:snapToGrid w:val="0"/>
        <w:spacing w:line="360" w:lineRule="auto"/>
        <w:ind w:firstLine="420" w:firstLineChars="200"/>
        <w:rPr>
          <w:rFonts w:ascii="宋体" w:hAnsi="宋体"/>
          <w:szCs w:val="21"/>
        </w:rPr>
      </w:pPr>
      <w:r>
        <w:rPr>
          <w:rFonts w:hint="eastAsia" w:ascii="宋体" w:hAnsi="宋体"/>
          <w:szCs w:val="21"/>
        </w:rPr>
        <w:t>1. 乙方保证其所供应的货物符合相关货物质量标准，不存在任何质量瑕疵或因质量瑕疵而导致的安全隐患，且为未经使用的全新货物。</w:t>
      </w:r>
    </w:p>
    <w:p>
      <w:pPr>
        <w:adjustRightInd w:val="0"/>
        <w:snapToGrid w:val="0"/>
        <w:spacing w:line="360" w:lineRule="auto"/>
        <w:ind w:firstLine="420" w:firstLineChars="200"/>
        <w:rPr>
          <w:rFonts w:ascii="宋体" w:hAnsi="宋体"/>
          <w:szCs w:val="21"/>
        </w:rPr>
      </w:pPr>
      <w:r>
        <w:rPr>
          <w:rFonts w:hint="eastAsia" w:ascii="宋体" w:hAnsi="宋体"/>
          <w:szCs w:val="21"/>
        </w:rPr>
        <w:t>2. 乙方应为货物提供【12】个月的免费质保期(含工时费和零部件费)，时间自甲方签署货物验收合格确认书之日起计算。</w:t>
      </w:r>
    </w:p>
    <w:p>
      <w:pPr>
        <w:adjustRightInd w:val="0"/>
        <w:snapToGrid w:val="0"/>
        <w:spacing w:line="360" w:lineRule="auto"/>
        <w:ind w:firstLine="420" w:firstLineChars="200"/>
        <w:rPr>
          <w:rFonts w:ascii="宋体" w:hAnsi="宋体"/>
          <w:szCs w:val="21"/>
        </w:rPr>
      </w:pPr>
      <w:r>
        <w:rPr>
          <w:rFonts w:hint="eastAsia" w:ascii="宋体" w:hAnsi="宋体"/>
          <w:szCs w:val="21"/>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auto"/>
        <w:ind w:firstLine="420" w:firstLineChars="200"/>
        <w:rPr>
          <w:rFonts w:ascii="宋体" w:hAnsi="宋体"/>
          <w:szCs w:val="21"/>
        </w:rPr>
      </w:pPr>
      <w:r>
        <w:rPr>
          <w:rFonts w:hint="eastAsia" w:ascii="宋体" w:hAnsi="宋体"/>
          <w:szCs w:val="21"/>
        </w:rPr>
        <w:t>4．乙方提供【7*24】小时售后服务，在接到报修通知后，维修人员应在【24】小时内赶到杭州萧山国际机场，并连续进行维修，直到货物恢复正常。修复部分的质保期自修复之日起重新开始计算。</w:t>
      </w:r>
    </w:p>
    <w:p>
      <w:pPr>
        <w:adjustRightInd w:val="0"/>
        <w:snapToGrid w:val="0"/>
        <w:spacing w:line="360" w:lineRule="auto"/>
        <w:ind w:firstLine="420" w:firstLineChars="200"/>
        <w:rPr>
          <w:rFonts w:ascii="宋体" w:hAnsi="宋体"/>
          <w:szCs w:val="21"/>
        </w:rPr>
      </w:pPr>
      <w:r>
        <w:rPr>
          <w:rFonts w:hint="eastAsia" w:ascii="宋体" w:hAnsi="宋体"/>
          <w:szCs w:val="21"/>
        </w:rPr>
        <w:t>5.免费质保期结束的【15】天前，乙方负责对货物进行一次全面的检修和维护，并由甲方验收认可。甲方验收认可并不免除乙方对于验收认可后发生的但尚在质保期限内的货物故障或损坏的维修、退换货义务。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auto"/>
        <w:ind w:firstLine="420" w:firstLineChars="200"/>
        <w:rPr>
          <w:rFonts w:ascii="宋体" w:hAnsi="宋体"/>
          <w:szCs w:val="21"/>
        </w:rPr>
      </w:pPr>
      <w:r>
        <w:rPr>
          <w:rFonts w:hint="eastAsia" w:ascii="宋体" w:hAnsi="宋体"/>
          <w:szCs w:val="21"/>
        </w:rPr>
        <w:t>6、若乙方提供的货物属于伪劣货物或者假冒货物或者欺诈甲方，使得甲方遭受损失，乙方应向甲方承担违约责任，同时，甲方可依法寻求其他法律救济。</w:t>
      </w:r>
    </w:p>
    <w:p>
      <w:pPr>
        <w:adjustRightInd w:val="0"/>
        <w:snapToGrid w:val="0"/>
        <w:spacing w:line="360" w:lineRule="auto"/>
        <w:ind w:firstLine="420" w:firstLineChars="200"/>
        <w:rPr>
          <w:rFonts w:ascii="宋体" w:hAnsi="宋体"/>
          <w:szCs w:val="21"/>
        </w:rPr>
      </w:pPr>
    </w:p>
    <w:p>
      <w:pPr>
        <w:numPr>
          <w:ilvl w:val="0"/>
          <w:numId w:val="36"/>
        </w:numPr>
        <w:adjustRightInd w:val="0"/>
        <w:snapToGrid w:val="0"/>
        <w:spacing w:line="360" w:lineRule="auto"/>
        <w:ind w:left="840" w:firstLine="422" w:firstLineChars="200"/>
        <w:outlineLvl w:val="2"/>
        <w:rPr>
          <w:rFonts w:ascii="宋体" w:hAnsi="宋体"/>
          <w:b/>
          <w:szCs w:val="21"/>
        </w:rPr>
      </w:pPr>
      <w:bookmarkStart w:id="64" w:name="_Toc419722765"/>
      <w:bookmarkStart w:id="65" w:name="_Toc419722708"/>
      <w:bookmarkStart w:id="66" w:name="_Toc432771978"/>
      <w:r>
        <w:rPr>
          <w:rFonts w:hint="eastAsia" w:ascii="宋体" w:hAnsi="宋体"/>
          <w:b/>
          <w:szCs w:val="21"/>
        </w:rPr>
        <w:t>违约责任</w:t>
      </w:r>
      <w:bookmarkEnd w:id="64"/>
      <w:bookmarkEnd w:id="65"/>
      <w:bookmarkEnd w:id="66"/>
    </w:p>
    <w:p>
      <w:pPr>
        <w:adjustRightInd w:val="0"/>
        <w:snapToGrid w:val="0"/>
        <w:spacing w:line="360" w:lineRule="auto"/>
        <w:ind w:firstLine="420" w:firstLineChars="200"/>
        <w:rPr>
          <w:rFonts w:ascii="宋体" w:hAnsi="宋体"/>
          <w:szCs w:val="21"/>
        </w:rPr>
      </w:pPr>
      <w:r>
        <w:rPr>
          <w:rFonts w:hint="eastAsia" w:ascii="宋体" w:hAnsi="宋体"/>
          <w:szCs w:val="21"/>
        </w:rPr>
        <w:t>1. 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 除本合同另有规定外，乙方违反其在本合同项下其他义务并给甲方造成损失的，须向甲方承担全部赔偿责任。</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.在合同履行期间，如发现乙方出现下列情形之一的，甲方有权终止合同,并全额没收乙方的履约保证金:</w:t>
      </w:r>
    </w:p>
    <w:p>
      <w:pPr>
        <w:adjustRightInd w:val="0"/>
        <w:snapToGrid w:val="0"/>
        <w:spacing w:line="360" w:lineRule="auto"/>
        <w:ind w:firstLine="420" w:firstLineChars="200"/>
        <w:rPr>
          <w:rFonts w:ascii="宋体" w:hAnsi="宋体"/>
          <w:szCs w:val="21"/>
        </w:rPr>
      </w:pPr>
      <w:r>
        <w:rPr>
          <w:rFonts w:hint="eastAsia" w:ascii="宋体" w:hAnsi="宋体"/>
          <w:szCs w:val="21"/>
        </w:rPr>
        <w:t>（1）弄虚作假、隐瞒真实情况骗取中标资格的；</w:t>
      </w:r>
    </w:p>
    <w:p>
      <w:pPr>
        <w:adjustRightInd w:val="0"/>
        <w:snapToGrid w:val="0"/>
        <w:spacing w:line="360" w:lineRule="auto"/>
        <w:ind w:firstLine="420" w:firstLineChars="200"/>
        <w:rPr>
          <w:rFonts w:ascii="宋体" w:hAnsi="宋体"/>
          <w:szCs w:val="21"/>
        </w:rPr>
      </w:pPr>
      <w:r>
        <w:rPr>
          <w:rFonts w:hint="eastAsia" w:ascii="宋体" w:hAnsi="宋体"/>
          <w:szCs w:val="21"/>
        </w:rPr>
        <w:t>（2）因行贿、受贿、串通投标、转包、挂靠受到有关政府部门处罚的；</w:t>
      </w:r>
    </w:p>
    <w:p>
      <w:pPr>
        <w:adjustRightInd w:val="0"/>
        <w:snapToGrid w:val="0"/>
        <w:spacing w:line="360" w:lineRule="auto"/>
        <w:ind w:firstLine="420" w:firstLineChars="200"/>
        <w:rPr>
          <w:rFonts w:ascii="宋体" w:hAnsi="宋体"/>
          <w:szCs w:val="21"/>
        </w:rPr>
      </w:pPr>
      <w:r>
        <w:rPr>
          <w:rFonts w:hint="eastAsia" w:ascii="宋体" w:hAnsi="宋体"/>
          <w:szCs w:val="21"/>
        </w:rPr>
        <w:t>（3）擅自变更或者中止协议的；</w:t>
      </w:r>
    </w:p>
    <w:p>
      <w:pPr>
        <w:adjustRightInd w:val="0"/>
        <w:snapToGrid w:val="0"/>
        <w:spacing w:line="360" w:lineRule="auto"/>
        <w:ind w:firstLine="420" w:firstLineChars="200"/>
        <w:rPr>
          <w:rFonts w:ascii="宋体" w:hAnsi="宋体"/>
          <w:szCs w:val="21"/>
        </w:rPr>
      </w:pPr>
      <w:r>
        <w:rPr>
          <w:rFonts w:hint="eastAsia" w:ascii="宋体" w:hAnsi="宋体"/>
          <w:szCs w:val="21"/>
        </w:rPr>
        <w:t>（4）提供假冒伪劣产品或质量存在重大质量问题的；</w:t>
      </w:r>
    </w:p>
    <w:p>
      <w:pPr>
        <w:adjustRightInd w:val="0"/>
        <w:snapToGrid w:val="0"/>
        <w:spacing w:line="360" w:lineRule="auto"/>
        <w:ind w:firstLine="420" w:firstLineChars="200"/>
        <w:rPr>
          <w:rFonts w:ascii="宋体" w:hAnsi="宋体"/>
          <w:szCs w:val="21"/>
        </w:rPr>
      </w:pPr>
      <w:r>
        <w:rPr>
          <w:rFonts w:hint="eastAsia" w:ascii="宋体" w:hAnsi="宋体"/>
          <w:szCs w:val="21"/>
        </w:rPr>
        <w:t>（5）无正当理由拒绝按照投标承诺提供供货服务的；</w:t>
      </w:r>
    </w:p>
    <w:p>
      <w:pPr>
        <w:adjustRightInd w:val="0"/>
        <w:snapToGrid w:val="0"/>
        <w:spacing w:line="360" w:lineRule="auto"/>
        <w:ind w:firstLine="420" w:firstLineChars="200"/>
        <w:rPr>
          <w:rFonts w:ascii="宋体" w:hAnsi="宋体"/>
          <w:szCs w:val="21"/>
        </w:rPr>
      </w:pPr>
      <w:r>
        <w:rPr>
          <w:rFonts w:hint="eastAsia" w:ascii="宋体" w:hAnsi="宋体"/>
          <w:szCs w:val="21"/>
        </w:rPr>
        <w:t>（6）无故拖延供货期并拒不改正的；</w:t>
      </w:r>
    </w:p>
    <w:p>
      <w:pPr>
        <w:adjustRightInd w:val="0"/>
        <w:snapToGrid w:val="0"/>
        <w:spacing w:line="360" w:lineRule="auto"/>
        <w:ind w:firstLine="420" w:firstLineChars="200"/>
        <w:rPr>
          <w:rFonts w:ascii="宋体" w:hAnsi="宋体"/>
          <w:szCs w:val="21"/>
        </w:rPr>
      </w:pPr>
      <w:r>
        <w:rPr>
          <w:rFonts w:hint="eastAsia" w:ascii="宋体" w:hAnsi="宋体"/>
          <w:szCs w:val="21"/>
        </w:rPr>
        <w:t>（7）拒绝有关部门检查或者不如实反映情况、提供材料的；</w:t>
      </w:r>
    </w:p>
    <w:p>
      <w:pPr>
        <w:adjustRightInd w:val="0"/>
        <w:snapToGrid w:val="0"/>
        <w:spacing w:line="360" w:lineRule="auto"/>
        <w:ind w:firstLine="420" w:firstLineChars="200"/>
        <w:rPr>
          <w:rFonts w:ascii="宋体" w:hAnsi="宋体"/>
          <w:szCs w:val="21"/>
        </w:rPr>
      </w:pPr>
      <w:r>
        <w:rPr>
          <w:rFonts w:hint="eastAsia" w:ascii="宋体" w:hAnsi="宋体"/>
          <w:szCs w:val="21"/>
        </w:rPr>
        <w:t>（8）不按照甲方</w:t>
      </w:r>
      <w:r>
        <w:rPr>
          <w:rFonts w:ascii="宋体" w:hAnsi="宋体"/>
          <w:szCs w:val="21"/>
        </w:rPr>
        <w:t>要求及时报价的</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）因其公司资质降低达不到本项目招标投标人须具备的资质条件的；</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）其它造成严重后或恶劣影响的行为。</w:t>
      </w:r>
      <w:r>
        <w:rPr>
          <w:rFonts w:hint="eastAsia" w:ascii="宋体" w:hAnsi="宋体"/>
          <w:szCs w:val="21"/>
        </w:rPr>
        <w:tab/>
      </w:r>
    </w:p>
    <w:p>
      <w:pPr>
        <w:adjustRightInd w:val="0"/>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 xml:space="preserve">.在合同履行期间，如发现乙方出现下列情形之一的，甲方可视乙方违约，记录扣分（以整改通知单形式告知） </w:t>
      </w:r>
    </w:p>
    <w:p>
      <w:pPr>
        <w:adjustRightInd w:val="0"/>
        <w:snapToGrid w:val="0"/>
        <w:spacing w:line="360" w:lineRule="auto"/>
        <w:ind w:firstLine="420" w:firstLineChars="200"/>
        <w:rPr>
          <w:rFonts w:ascii="宋体" w:hAnsi="宋体"/>
          <w:szCs w:val="21"/>
        </w:rPr>
      </w:pPr>
      <w:r>
        <w:rPr>
          <w:rFonts w:hint="eastAsia" w:ascii="宋体" w:hAnsi="宋体"/>
          <w:szCs w:val="21"/>
        </w:rPr>
        <w:t>（1）提供的货物和服务不符合质量要求或价格高于市场同类产品的，经查证属实的,一次扣1分；</w:t>
      </w:r>
    </w:p>
    <w:p>
      <w:pPr>
        <w:adjustRightInd w:val="0"/>
        <w:snapToGrid w:val="0"/>
        <w:spacing w:line="360" w:lineRule="auto"/>
        <w:ind w:firstLine="420" w:firstLineChars="200"/>
        <w:rPr>
          <w:rFonts w:ascii="宋体" w:hAnsi="宋体"/>
          <w:szCs w:val="21"/>
        </w:rPr>
      </w:pPr>
      <w:r>
        <w:rPr>
          <w:rFonts w:hint="eastAsia" w:ascii="宋体" w:hAnsi="宋体"/>
          <w:szCs w:val="21"/>
        </w:rPr>
        <w:t>（2）不履行本协议规定的义务和操作流程，经查证属实的,一次扣1分；</w:t>
      </w:r>
    </w:p>
    <w:p>
      <w:pPr>
        <w:adjustRightInd w:val="0"/>
        <w:snapToGrid w:val="0"/>
        <w:spacing w:line="360" w:lineRule="auto"/>
        <w:ind w:firstLine="420" w:firstLineChars="200"/>
        <w:rPr>
          <w:rFonts w:ascii="宋体" w:hAnsi="宋体"/>
          <w:szCs w:val="21"/>
        </w:rPr>
      </w:pPr>
      <w:r>
        <w:rPr>
          <w:rFonts w:hint="eastAsia" w:ascii="宋体" w:hAnsi="宋体"/>
          <w:szCs w:val="21"/>
        </w:rPr>
        <w:t>（3）被甲方采购或使用部门有效投诉的，一次扣1分；</w:t>
      </w:r>
    </w:p>
    <w:p>
      <w:pPr>
        <w:adjustRightInd w:val="0"/>
        <w:snapToGrid w:val="0"/>
        <w:spacing w:line="360" w:lineRule="auto"/>
        <w:ind w:firstLine="420" w:firstLineChars="200"/>
        <w:rPr>
          <w:rFonts w:ascii="宋体" w:hAnsi="宋体"/>
          <w:szCs w:val="21"/>
        </w:rPr>
      </w:pPr>
      <w:r>
        <w:rPr>
          <w:rFonts w:hint="eastAsia" w:ascii="宋体" w:hAnsi="宋体"/>
          <w:szCs w:val="21"/>
        </w:rPr>
        <w:t>（4）弄虚作假，隐瞒真实情况，所提供的货物与投标承诺的不相符的，一项扣2分；</w:t>
      </w:r>
    </w:p>
    <w:p>
      <w:pPr>
        <w:adjustRightInd w:val="0"/>
        <w:snapToGrid w:val="0"/>
        <w:spacing w:line="360" w:lineRule="auto"/>
        <w:ind w:firstLine="420" w:firstLineChars="200"/>
        <w:rPr>
          <w:rFonts w:ascii="宋体" w:hAnsi="宋体"/>
          <w:szCs w:val="21"/>
        </w:rPr>
      </w:pPr>
      <w:r>
        <w:rPr>
          <w:rFonts w:hint="eastAsia" w:ascii="宋体" w:hAnsi="宋体"/>
          <w:szCs w:val="21"/>
        </w:rPr>
        <w:t>（5）产品质量在甲方组织的随机检查中不合格的，一项扣2分；</w:t>
      </w:r>
    </w:p>
    <w:p>
      <w:pPr>
        <w:adjustRightInd w:val="0"/>
        <w:snapToGrid w:val="0"/>
        <w:spacing w:line="360" w:lineRule="auto"/>
        <w:ind w:firstLine="420" w:firstLineChars="200"/>
        <w:rPr>
          <w:rFonts w:ascii="宋体" w:hAnsi="宋体"/>
          <w:szCs w:val="21"/>
        </w:rPr>
      </w:pPr>
      <w:r>
        <w:rPr>
          <w:rFonts w:hint="eastAsia" w:ascii="宋体" w:hAnsi="宋体"/>
          <w:szCs w:val="21"/>
        </w:rPr>
        <w:t>（6）因违规操作或主观恶意给甲方造成损失的，一次扣2分，造成较大损失的，一次扣5分</w:t>
      </w:r>
    </w:p>
    <w:p>
      <w:pPr>
        <w:adjustRightInd w:val="0"/>
        <w:snapToGrid w:val="0"/>
        <w:spacing w:line="360" w:lineRule="auto"/>
        <w:ind w:firstLine="420" w:firstLineChars="200"/>
        <w:rPr>
          <w:rFonts w:ascii="宋体" w:hAnsi="宋体"/>
          <w:szCs w:val="21"/>
        </w:rPr>
      </w:pPr>
      <w:r>
        <w:rPr>
          <w:rFonts w:hint="eastAsia" w:ascii="宋体" w:hAnsi="宋体"/>
          <w:szCs w:val="21"/>
        </w:rPr>
        <w:t>乙方有否定指标违规或有以上被扣分情况的，甲方可对乙方采取以下措施：</w:t>
      </w:r>
    </w:p>
    <w:p>
      <w:pPr>
        <w:adjustRightInd w:val="0"/>
        <w:snapToGrid w:val="0"/>
        <w:spacing w:line="360" w:lineRule="auto"/>
        <w:ind w:firstLine="420" w:firstLineChars="200"/>
        <w:rPr>
          <w:rFonts w:ascii="宋体" w:hAnsi="宋体"/>
          <w:szCs w:val="21"/>
        </w:rPr>
      </w:pPr>
      <w:r>
        <w:rPr>
          <w:rFonts w:hint="eastAsia" w:ascii="宋体" w:hAnsi="宋体"/>
          <w:szCs w:val="21"/>
        </w:rPr>
        <w:t>（1）累计被扣2分，口头警告</w:t>
      </w:r>
    </w:p>
    <w:p>
      <w:pPr>
        <w:adjustRightInd w:val="0"/>
        <w:snapToGrid w:val="0"/>
        <w:spacing w:line="360" w:lineRule="auto"/>
        <w:ind w:firstLine="420" w:firstLineChars="200"/>
        <w:rPr>
          <w:rFonts w:ascii="宋体" w:hAnsi="宋体"/>
          <w:szCs w:val="21"/>
        </w:rPr>
      </w:pPr>
      <w:r>
        <w:rPr>
          <w:rFonts w:hint="eastAsia" w:ascii="宋体" w:hAnsi="宋体"/>
          <w:szCs w:val="21"/>
        </w:rPr>
        <w:t>（2）累计被扣3分，书面警告一次。</w:t>
      </w:r>
    </w:p>
    <w:p>
      <w:pPr>
        <w:adjustRightInd w:val="0"/>
        <w:snapToGrid w:val="0"/>
        <w:spacing w:line="360" w:lineRule="auto"/>
        <w:ind w:firstLine="420" w:firstLineChars="200"/>
        <w:rPr>
          <w:rFonts w:ascii="宋体" w:hAnsi="宋体"/>
          <w:szCs w:val="21"/>
        </w:rPr>
      </w:pPr>
      <w:r>
        <w:rPr>
          <w:rFonts w:hint="eastAsia" w:ascii="宋体" w:hAnsi="宋体"/>
          <w:szCs w:val="21"/>
        </w:rPr>
        <w:t>（3）累计被扣5分及以上的，甲方有权终止合同，乙方给甲方造成经济损失的，应当承担赔偿责任，并全额没收乙方的履约保证金。</w:t>
      </w:r>
    </w:p>
    <w:p>
      <w:pPr>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．甲方采购单的原装商品中凡乙方供应出现的假货，乙方应承担双倍赔偿责任。</w:t>
      </w:r>
    </w:p>
    <w:p>
      <w:pPr>
        <w:numPr>
          <w:ilvl w:val="0"/>
          <w:numId w:val="36"/>
        </w:numPr>
        <w:adjustRightInd w:val="0"/>
        <w:snapToGrid w:val="0"/>
        <w:spacing w:line="360" w:lineRule="auto"/>
        <w:ind w:left="840" w:firstLine="422" w:firstLineChars="200"/>
        <w:outlineLvl w:val="2"/>
        <w:rPr>
          <w:rFonts w:ascii="宋体" w:hAnsi="宋体"/>
          <w:b/>
          <w:szCs w:val="21"/>
        </w:rPr>
      </w:pPr>
      <w:bookmarkStart w:id="67" w:name="_Toc419722709"/>
      <w:bookmarkStart w:id="68" w:name="_Toc432771979"/>
      <w:bookmarkStart w:id="69" w:name="_Toc419722766"/>
      <w:r>
        <w:rPr>
          <w:rFonts w:hint="eastAsia" w:ascii="宋体" w:hAnsi="宋体"/>
          <w:b/>
          <w:szCs w:val="21"/>
        </w:rPr>
        <w:t>不可抗力事件处理</w:t>
      </w:r>
      <w:bookmarkEnd w:id="67"/>
      <w:bookmarkEnd w:id="68"/>
      <w:bookmarkEnd w:id="69"/>
    </w:p>
    <w:p>
      <w:pPr>
        <w:adjustRightInd w:val="0"/>
        <w:snapToGrid w:val="0"/>
        <w:spacing w:line="360"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360"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adjustRightInd w:val="0"/>
        <w:snapToGrid w:val="0"/>
        <w:spacing w:line="360" w:lineRule="auto"/>
        <w:ind w:firstLine="420" w:firstLineChars="200"/>
        <w:rPr>
          <w:rFonts w:ascii="宋体" w:hAnsi="宋体"/>
          <w:szCs w:val="21"/>
        </w:rPr>
      </w:pPr>
      <w:r>
        <w:rPr>
          <w:rFonts w:hint="eastAsia" w:ascii="宋体" w:hAnsi="宋体"/>
          <w:szCs w:val="21"/>
        </w:rPr>
        <w:t>3. 不可抗力事件延续140天以上，双方应通过友好协商，确定是否继续履行合同；协商无法达成一致的，本合同自动终止，双方互不承担赔偿或违约责任。</w:t>
      </w:r>
    </w:p>
    <w:p>
      <w:pPr>
        <w:numPr>
          <w:ilvl w:val="0"/>
          <w:numId w:val="36"/>
        </w:numPr>
        <w:adjustRightInd w:val="0"/>
        <w:snapToGrid w:val="0"/>
        <w:spacing w:line="360" w:lineRule="auto"/>
        <w:ind w:left="840" w:firstLine="422" w:firstLineChars="200"/>
        <w:outlineLvl w:val="2"/>
        <w:rPr>
          <w:rFonts w:ascii="宋体" w:hAnsi="宋体"/>
          <w:b/>
          <w:szCs w:val="21"/>
        </w:rPr>
      </w:pPr>
      <w:bookmarkStart w:id="70" w:name="_Toc419722710"/>
      <w:bookmarkStart w:id="71" w:name="_Toc419722767"/>
      <w:bookmarkStart w:id="72" w:name="_Toc432771980"/>
      <w:r>
        <w:rPr>
          <w:rFonts w:hint="eastAsia" w:ascii="宋体" w:hAnsi="宋体"/>
          <w:b/>
          <w:szCs w:val="21"/>
        </w:rPr>
        <w:t>争议解决</w:t>
      </w:r>
      <w:bookmarkEnd w:id="70"/>
      <w:bookmarkEnd w:id="71"/>
      <w:bookmarkEnd w:id="72"/>
    </w:p>
    <w:p>
      <w:pPr>
        <w:adjustRightInd w:val="0"/>
        <w:snapToGrid w:val="0"/>
        <w:spacing w:line="360"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numPr>
          <w:ilvl w:val="0"/>
          <w:numId w:val="36"/>
        </w:numPr>
        <w:adjustRightInd w:val="0"/>
        <w:snapToGrid w:val="0"/>
        <w:spacing w:line="360" w:lineRule="auto"/>
        <w:ind w:left="840" w:firstLine="422" w:firstLineChars="200"/>
        <w:outlineLvl w:val="2"/>
        <w:rPr>
          <w:rFonts w:ascii="宋体" w:hAnsi="宋体"/>
          <w:b/>
          <w:szCs w:val="21"/>
        </w:rPr>
      </w:pPr>
      <w:bookmarkStart w:id="73" w:name="_Toc419722711"/>
      <w:bookmarkStart w:id="74" w:name="_Toc432771981"/>
      <w:bookmarkStart w:id="75" w:name="_Toc419722768"/>
      <w:r>
        <w:rPr>
          <w:rFonts w:hint="eastAsia" w:ascii="宋体" w:hAnsi="宋体"/>
          <w:b/>
          <w:szCs w:val="21"/>
        </w:rPr>
        <w:t>合同组成文件包含下列内容，合同与招投标文件不一致解释顺序如下：</w:t>
      </w:r>
      <w:bookmarkEnd w:id="73"/>
      <w:bookmarkEnd w:id="74"/>
      <w:bookmarkEnd w:id="75"/>
    </w:p>
    <w:p>
      <w:pPr>
        <w:adjustRightInd w:val="0"/>
        <w:snapToGrid w:val="0"/>
        <w:spacing w:line="360"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360" w:lineRule="auto"/>
        <w:ind w:firstLine="420" w:firstLineChars="200"/>
        <w:rPr>
          <w:rFonts w:ascii="宋体" w:hAnsi="宋体"/>
          <w:szCs w:val="21"/>
        </w:rPr>
      </w:pPr>
      <w:r>
        <w:rPr>
          <w:rFonts w:hint="eastAsia" w:ascii="宋体" w:hAnsi="宋体"/>
          <w:szCs w:val="21"/>
        </w:rPr>
        <w:t>2.中标通知书</w:t>
      </w:r>
    </w:p>
    <w:p>
      <w:pPr>
        <w:adjustRightInd w:val="0"/>
        <w:snapToGrid w:val="0"/>
        <w:spacing w:line="360" w:lineRule="auto"/>
        <w:ind w:firstLine="420" w:firstLineChars="200"/>
        <w:rPr>
          <w:rFonts w:ascii="宋体" w:hAnsi="宋体"/>
          <w:szCs w:val="21"/>
        </w:rPr>
      </w:pPr>
      <w:r>
        <w:rPr>
          <w:rFonts w:hint="eastAsia" w:ascii="宋体" w:hAnsi="宋体"/>
          <w:szCs w:val="21"/>
        </w:rPr>
        <w:t>3.招标文件</w:t>
      </w:r>
    </w:p>
    <w:p>
      <w:pPr>
        <w:adjustRightInd w:val="0"/>
        <w:snapToGrid w:val="0"/>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投标书及其附件</w:t>
      </w:r>
    </w:p>
    <w:p>
      <w:pPr>
        <w:adjustRightInd w:val="0"/>
        <w:snapToGrid w:val="0"/>
        <w:spacing w:line="360" w:lineRule="auto"/>
        <w:ind w:firstLine="420" w:firstLineChars="200"/>
        <w:rPr>
          <w:rFonts w:ascii="宋体" w:hAnsi="宋体"/>
          <w:szCs w:val="21"/>
        </w:rPr>
      </w:pPr>
      <w:r>
        <w:rPr>
          <w:rFonts w:hint="eastAsia" w:ascii="宋体" w:hAnsi="宋体"/>
          <w:szCs w:val="21"/>
        </w:rPr>
        <w:t>5.标准、规范及有关技术文件</w:t>
      </w:r>
    </w:p>
    <w:p>
      <w:pPr>
        <w:numPr>
          <w:ilvl w:val="0"/>
          <w:numId w:val="36"/>
        </w:numPr>
        <w:adjustRightInd w:val="0"/>
        <w:snapToGrid w:val="0"/>
        <w:spacing w:line="360" w:lineRule="auto"/>
        <w:ind w:left="840" w:firstLine="422" w:firstLineChars="200"/>
        <w:outlineLvl w:val="2"/>
        <w:rPr>
          <w:rFonts w:ascii="宋体" w:hAnsi="宋体"/>
          <w:b/>
          <w:szCs w:val="21"/>
        </w:rPr>
      </w:pPr>
      <w:bookmarkStart w:id="76" w:name="_Toc419722712"/>
      <w:bookmarkStart w:id="77" w:name="_Toc432771982"/>
      <w:bookmarkStart w:id="78" w:name="_Toc419722769"/>
      <w:r>
        <w:rPr>
          <w:rFonts w:hint="eastAsia" w:ascii="宋体" w:hAnsi="宋体"/>
          <w:b/>
          <w:szCs w:val="21"/>
        </w:rPr>
        <w:t>合同生效及其它</w:t>
      </w:r>
      <w:bookmarkEnd w:id="76"/>
      <w:bookmarkEnd w:id="77"/>
      <w:bookmarkEnd w:id="78"/>
    </w:p>
    <w:p>
      <w:pPr>
        <w:adjustRightInd w:val="0"/>
        <w:snapToGrid w:val="0"/>
        <w:spacing w:line="360" w:lineRule="auto"/>
        <w:ind w:firstLine="420" w:firstLineChars="200"/>
        <w:rPr>
          <w:rFonts w:ascii="宋体" w:hAnsi="宋体"/>
          <w:szCs w:val="21"/>
        </w:rPr>
      </w:pPr>
      <w:r>
        <w:rPr>
          <w:rFonts w:hint="eastAsia" w:ascii="宋体" w:hAnsi="宋体"/>
          <w:szCs w:val="21"/>
        </w:rPr>
        <w:t>1. 合同经双方法定代表人或授权代表签字并加盖单位公章之日起生效。</w:t>
      </w:r>
    </w:p>
    <w:p>
      <w:pPr>
        <w:adjustRightInd w:val="0"/>
        <w:snapToGrid w:val="0"/>
        <w:spacing w:line="360"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2.本合同未尽事宜，双方可签订补充协议予以执行；未达成补充协议的，遵照《合同法》及有关法律法规执行。</w:t>
      </w:r>
    </w:p>
    <w:p>
      <w:pPr>
        <w:adjustRightInd w:val="0"/>
        <w:snapToGrid w:val="0"/>
        <w:spacing w:line="360" w:lineRule="auto"/>
        <w:ind w:firstLine="420" w:firstLineChars="200"/>
        <w:rPr>
          <w:rFonts w:ascii="宋体" w:hAnsi="宋体"/>
          <w:szCs w:val="21"/>
        </w:rPr>
      </w:pPr>
      <w:r>
        <w:rPr>
          <w:rFonts w:hint="eastAsia" w:ascii="宋体" w:hAnsi="宋体"/>
          <w:szCs w:val="21"/>
        </w:rPr>
        <w:t>3.本合同一式陆份，双方各持三份，具有同等法律效力。</w:t>
      </w:r>
    </w:p>
    <w:p>
      <w:pPr>
        <w:adjustRightInd w:val="0"/>
        <w:snapToGrid w:val="0"/>
        <w:spacing w:line="360" w:lineRule="auto"/>
        <w:ind w:firstLine="420" w:firstLineChars="200"/>
        <w:rPr>
          <w:rFonts w:ascii="宋体" w:hAnsi="宋体"/>
          <w:szCs w:val="21"/>
        </w:rPr>
      </w:pPr>
    </w:p>
    <w:p>
      <w:pPr>
        <w:spacing w:line="360" w:lineRule="auto"/>
        <w:jc w:val="left"/>
        <w:rPr>
          <w:rFonts w:ascii="宋体" w:hAnsi="宋体"/>
          <w:szCs w:val="21"/>
        </w:rPr>
      </w:pPr>
      <w:r>
        <w:rPr>
          <w:rFonts w:hint="eastAsia" w:ascii="宋体" w:hAnsi="宋体"/>
          <w:szCs w:val="21"/>
        </w:rPr>
        <w:t>甲方：杭州萧山国际机场有限公司               乙方：北京瑞源华德科技有限公司</w:t>
      </w:r>
    </w:p>
    <w:p>
      <w:pPr>
        <w:spacing w:line="360" w:lineRule="auto"/>
        <w:ind w:left="5387" w:hanging="5387"/>
        <w:jc w:val="left"/>
        <w:rPr>
          <w:rFonts w:ascii="宋体" w:hAnsi="宋体"/>
          <w:szCs w:val="21"/>
        </w:rPr>
      </w:pPr>
      <w:r>
        <w:rPr>
          <w:rFonts w:hint="eastAsia" w:ascii="宋体" w:hAnsi="宋体"/>
          <w:szCs w:val="21"/>
        </w:rPr>
        <w:t>地址：杭州萧山国际机场内                     地址：北京市北京经济技术开发区荣昌东街甲5号2号楼10层1001-9</w:t>
      </w:r>
    </w:p>
    <w:p>
      <w:pPr>
        <w:spacing w:line="360" w:lineRule="auto"/>
        <w:jc w:val="left"/>
        <w:rPr>
          <w:rFonts w:ascii="宋体" w:hAnsi="宋体"/>
          <w:szCs w:val="21"/>
        </w:rPr>
      </w:pPr>
      <w:r>
        <w:rPr>
          <w:rFonts w:hint="eastAsia" w:ascii="宋体" w:hAnsi="宋体"/>
          <w:szCs w:val="21"/>
        </w:rPr>
        <w:t>法定代表人（签字）：                          法定代表人（签字）：</w:t>
      </w:r>
    </w:p>
    <w:p>
      <w:pPr>
        <w:spacing w:line="360" w:lineRule="auto"/>
        <w:jc w:val="left"/>
        <w:rPr>
          <w:rFonts w:ascii="宋体" w:hAnsi="宋体"/>
          <w:szCs w:val="21"/>
        </w:rPr>
      </w:pPr>
      <w:r>
        <w:rPr>
          <w:rFonts w:hint="eastAsia" w:ascii="宋体" w:hAnsi="宋体"/>
          <w:szCs w:val="21"/>
        </w:rPr>
        <w:t>或                                           或</w:t>
      </w:r>
    </w:p>
    <w:p>
      <w:pPr>
        <w:spacing w:line="360" w:lineRule="auto"/>
        <w:jc w:val="left"/>
        <w:rPr>
          <w:rFonts w:ascii="宋体" w:hAnsi="宋体"/>
          <w:szCs w:val="21"/>
        </w:rPr>
      </w:pPr>
      <w:r>
        <w:rPr>
          <w:rFonts w:hint="eastAsia" w:ascii="宋体" w:hAnsi="宋体"/>
          <w:szCs w:val="21"/>
        </w:rPr>
        <w:t>授权代表（签字）：                            授权代表（签字）：</w:t>
      </w:r>
    </w:p>
    <w:p>
      <w:pPr>
        <w:spacing w:line="360" w:lineRule="auto"/>
        <w:jc w:val="left"/>
        <w:rPr>
          <w:rFonts w:ascii="宋体" w:hAnsi="宋体"/>
          <w:szCs w:val="21"/>
        </w:rPr>
      </w:pPr>
      <w:r>
        <w:rPr>
          <w:rFonts w:hint="eastAsia" w:ascii="宋体" w:hAnsi="宋体"/>
          <w:szCs w:val="21"/>
        </w:rPr>
        <w:t>签字日期：                                   签字日期：</w:t>
      </w:r>
    </w:p>
    <w:p>
      <w:pPr>
        <w:spacing w:line="360" w:lineRule="auto"/>
        <w:jc w:val="left"/>
        <w:rPr>
          <w:rFonts w:ascii="宋体" w:hAnsi="宋体"/>
          <w:szCs w:val="21"/>
        </w:rPr>
      </w:pP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年   月   日                                       年    月   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rFonts w:ascii="宋体" w:hAnsi="宋体" w:cs="宋体"/>
          <w:szCs w:val="21"/>
        </w:rPr>
        <w:sectPr>
          <w:pgSz w:w="12240" w:h="15840"/>
          <w:pgMar w:top="1400" w:right="1680" w:bottom="1120" w:left="1580" w:header="0" w:footer="921" w:gutter="0"/>
          <w:cols w:space="720" w:num="1"/>
        </w:sectPr>
      </w:pPr>
    </w:p>
    <w:p>
      <w:pPr>
        <w:pStyle w:val="2"/>
        <w:spacing w:line="564" w:lineRule="exact"/>
        <w:ind w:right="57"/>
        <w:jc w:val="left"/>
        <w:rPr>
          <w:rFonts w:ascii="宋体" w:hAnsi="宋体" w:cs="宋体"/>
          <w:sz w:val="22"/>
          <w:szCs w:val="22"/>
        </w:rPr>
      </w:pPr>
      <w:r>
        <w:rPr>
          <w:rFonts w:hint="eastAsia" w:ascii="宋体" w:hAnsi="宋体" w:cs="宋体"/>
          <w:sz w:val="22"/>
          <w:szCs w:val="22"/>
        </w:rPr>
        <w:t>附件3</w:t>
      </w:r>
    </w:p>
    <w:p>
      <w:pPr>
        <w:adjustRightInd w:val="0"/>
        <w:snapToGrid w:val="0"/>
        <w:spacing w:line="360" w:lineRule="auto"/>
        <w:jc w:val="center"/>
        <w:outlineLvl w:val="2"/>
        <w:rPr>
          <w:rFonts w:ascii="宋体" w:hAnsi="宋体" w:cs="宋体"/>
          <w:szCs w:val="21"/>
        </w:rPr>
      </w:pPr>
      <w:r>
        <w:rPr>
          <w:rFonts w:hint="eastAsia" w:ascii="宋体" w:hAnsi="宋体"/>
          <w:b/>
          <w:sz w:val="36"/>
          <w:szCs w:val="21"/>
        </w:rPr>
        <w:t>项目清单</w:t>
      </w:r>
    </w:p>
    <w:tbl>
      <w:tblPr>
        <w:tblStyle w:val="90"/>
        <w:tblW w:w="9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533"/>
        <w:gridCol w:w="1915"/>
        <w:gridCol w:w="1915"/>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序号</w:t>
            </w:r>
          </w:p>
        </w:tc>
        <w:tc>
          <w:tcPr>
            <w:tcW w:w="2533"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耗材名称</w:t>
            </w:r>
          </w:p>
        </w:tc>
        <w:tc>
          <w:tcPr>
            <w:tcW w:w="1915"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单位</w:t>
            </w:r>
          </w:p>
        </w:tc>
        <w:tc>
          <w:tcPr>
            <w:tcW w:w="1915" w:type="dxa"/>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单</w:t>
            </w:r>
            <w:r>
              <w:rPr>
                <w:rFonts w:ascii="宋体" w:hAnsi="宋体"/>
                <w:b/>
                <w:sz w:val="36"/>
                <w:szCs w:val="21"/>
              </w:rPr>
              <w:t xml:space="preserve">  </w:t>
            </w:r>
            <w:r>
              <w:rPr>
                <w:rFonts w:hint="eastAsia" w:ascii="宋体" w:hAnsi="宋体"/>
                <w:b/>
                <w:sz w:val="36"/>
                <w:szCs w:val="21"/>
              </w:rPr>
              <w:t>价</w:t>
            </w:r>
            <w:r>
              <w:rPr>
                <w:rFonts w:ascii="宋体" w:hAnsi="宋体"/>
                <w:b/>
                <w:sz w:val="36"/>
                <w:szCs w:val="21"/>
              </w:rPr>
              <w:t xml:space="preserve"> (</w:t>
            </w:r>
            <w:r>
              <w:rPr>
                <w:rFonts w:hint="eastAsia" w:ascii="宋体" w:hAnsi="宋体"/>
                <w:b/>
                <w:sz w:val="36"/>
                <w:szCs w:val="21"/>
              </w:rPr>
              <w:t>元，不含税</w:t>
            </w:r>
            <w:r>
              <w:rPr>
                <w:rFonts w:ascii="宋体" w:hAnsi="宋体"/>
                <w:b/>
                <w:sz w:val="36"/>
                <w:szCs w:val="21"/>
              </w:rPr>
              <w:t>)</w:t>
            </w:r>
          </w:p>
        </w:tc>
        <w:tc>
          <w:tcPr>
            <w:tcW w:w="1915" w:type="dxa"/>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bl>
    <w:p>
      <w:pPr>
        <w:pStyle w:val="2"/>
        <w:spacing w:line="564" w:lineRule="exact"/>
        <w:ind w:right="57"/>
        <w:jc w:val="center"/>
        <w:rPr>
          <w:rFonts w:ascii="宋体" w:hAnsi="宋体" w:cs="宋体"/>
          <w:szCs w:val="21"/>
        </w:rPr>
        <w:sectPr>
          <w:pgSz w:w="12240" w:h="15840"/>
          <w:pgMar w:top="1400" w:right="1680" w:bottom="1120" w:left="1580" w:header="0" w:footer="921" w:gutter="0"/>
          <w:cols w:space="720" w:num="1"/>
        </w:sectPr>
      </w:pPr>
    </w:p>
    <w:p>
      <w:pPr>
        <w:pStyle w:val="2"/>
        <w:spacing w:line="564" w:lineRule="exact"/>
        <w:ind w:right="57"/>
        <w:jc w:val="left"/>
        <w:rPr>
          <w:rFonts w:ascii="宋体" w:hAnsi="宋体" w:cs="宋体"/>
          <w:sz w:val="22"/>
          <w:szCs w:val="22"/>
        </w:rPr>
      </w:pPr>
      <w:r>
        <w:rPr>
          <w:rFonts w:hint="eastAsia" w:ascii="宋体" w:hAnsi="宋体" w:cs="宋体"/>
          <w:sz w:val="22"/>
          <w:szCs w:val="22"/>
        </w:rPr>
        <w:t>附件4</w:t>
      </w:r>
    </w:p>
    <w:p>
      <w:pPr>
        <w:adjustRightInd w:val="0"/>
        <w:snapToGrid w:val="0"/>
        <w:spacing w:line="360" w:lineRule="auto"/>
        <w:ind w:left="723"/>
        <w:jc w:val="center"/>
        <w:outlineLvl w:val="2"/>
        <w:rPr>
          <w:rFonts w:ascii="宋体" w:hAnsi="宋体"/>
          <w:b/>
          <w:sz w:val="36"/>
          <w:szCs w:val="21"/>
        </w:rPr>
      </w:pPr>
      <w:bookmarkStart w:id="79" w:name="_Toc419722713"/>
      <w:bookmarkStart w:id="80" w:name="_Toc432771983"/>
      <w:bookmarkStart w:id="81" w:name="_Toc419722770"/>
      <w:r>
        <w:rPr>
          <w:rFonts w:hint="eastAsia" w:ascii="宋体" w:hAnsi="宋体"/>
          <w:b/>
          <w:sz w:val="36"/>
          <w:szCs w:val="21"/>
        </w:rPr>
        <w:t>供应商年度考核评分表</w:t>
      </w:r>
      <w:bookmarkEnd w:id="79"/>
      <w:bookmarkEnd w:id="80"/>
      <w:bookmarkEnd w:id="81"/>
    </w:p>
    <w:tbl>
      <w:tblPr>
        <w:tblStyle w:val="89"/>
        <w:tblW w:w="8643" w:type="dxa"/>
        <w:tblInd w:w="113" w:type="dxa"/>
        <w:tblLayout w:type="fixed"/>
        <w:tblCellMar>
          <w:top w:w="0" w:type="dxa"/>
          <w:left w:w="108" w:type="dxa"/>
          <w:bottom w:w="0" w:type="dxa"/>
          <w:right w:w="108" w:type="dxa"/>
        </w:tblCellMar>
      </w:tblPr>
      <w:tblGrid>
        <w:gridCol w:w="1080"/>
        <w:gridCol w:w="5861"/>
        <w:gridCol w:w="851"/>
        <w:gridCol w:w="851"/>
      </w:tblGrid>
      <w:tr>
        <w:tblPrEx>
          <w:tblLayout w:type="fixed"/>
          <w:tblCellMar>
            <w:top w:w="0" w:type="dxa"/>
            <w:left w:w="108" w:type="dxa"/>
            <w:bottom w:w="0" w:type="dxa"/>
            <w:right w:w="108" w:type="dxa"/>
          </w:tblCellMar>
        </w:tblPrEx>
        <w:trPr>
          <w:trHeight w:val="457"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考核项目</w:t>
            </w:r>
          </w:p>
        </w:tc>
        <w:tc>
          <w:tcPr>
            <w:tcW w:w="586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考核内容</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分值</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得分</w:t>
            </w: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价格水平</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是否按照合同规定价格提供相应的服务</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所提供服务价格是否不高于同性质的一般市场价格</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质量水平</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服务是否符合合同规定的质量标准</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提供服务后系统运行是否正常</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是否按要求提供相应的维保服务</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对故障问题的处理能力</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服务能力</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维保及时性：是否根据合同规定时间提供服务</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6</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是否按照合同规定的交付方式进行交付</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应急服务的供应及时性</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后援服务</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提供服务的及时和间隔时间的一致</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后续服务能力</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人员管理</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团队管理能力</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员工综合素质</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903" w:hRule="atLeast"/>
        </w:trPr>
        <w:tc>
          <w:tcPr>
            <w:tcW w:w="108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用户总体满意度</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均值在75分以上（含）,80分以下的得5分；</w:t>
            </w:r>
          </w:p>
          <w:p>
            <w:pPr>
              <w:rPr>
                <w:rFonts w:ascii="仿宋_GB2312" w:hAnsi="宋体" w:eastAsia="仿宋_GB2312" w:cs="宋体"/>
                <w:kern w:val="0"/>
                <w:szCs w:val="21"/>
              </w:rPr>
            </w:pPr>
            <w:r>
              <w:rPr>
                <w:rFonts w:hint="eastAsia" w:ascii="仿宋_GB2312" w:hAnsi="宋体" w:eastAsia="仿宋_GB2312" w:cs="宋体"/>
                <w:kern w:val="0"/>
                <w:szCs w:val="21"/>
              </w:rPr>
              <w:t>均值在80分以上的得10分；</w:t>
            </w:r>
          </w:p>
          <w:p>
            <w:pPr>
              <w:rPr>
                <w:rFonts w:ascii="仿宋_GB2312" w:hAnsi="宋体" w:eastAsia="仿宋_GB2312" w:cs="宋体"/>
                <w:kern w:val="0"/>
                <w:szCs w:val="21"/>
              </w:rPr>
            </w:pPr>
            <w:r>
              <w:rPr>
                <w:rFonts w:hint="eastAsia" w:ascii="仿宋_GB2312" w:hAnsi="宋体" w:eastAsia="仿宋_GB2312" w:cs="宋体"/>
                <w:kern w:val="0"/>
                <w:szCs w:val="21"/>
              </w:rPr>
              <w:t>均值在75分以下得0分。</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合作情况</w:t>
            </w:r>
          </w:p>
        </w:tc>
        <w:tc>
          <w:tcPr>
            <w:tcW w:w="586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被提出整改要求后的整改情况</w:t>
            </w:r>
          </w:p>
        </w:tc>
        <w:tc>
          <w:tcPr>
            <w:tcW w:w="851" w:type="dxa"/>
            <w:tcBorders>
              <w:top w:val="single" w:color="auto" w:sz="4" w:space="0"/>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场区内文明服务，遵守机场的相关管理规定</w:t>
            </w:r>
          </w:p>
        </w:tc>
        <w:tc>
          <w:tcPr>
            <w:tcW w:w="851" w:type="dxa"/>
            <w:tcBorders>
              <w:top w:val="single" w:color="auto" w:sz="4" w:space="0"/>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85" w:hRule="atLeast"/>
        </w:trPr>
        <w:tc>
          <w:tcPr>
            <w:tcW w:w="6941" w:type="dxa"/>
            <w:gridSpan w:val="2"/>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kern w:val="0"/>
                <w:sz w:val="20"/>
                <w:szCs w:val="20"/>
              </w:rPr>
              <w:t>合计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100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rPr>
            </w:pPr>
          </w:p>
        </w:tc>
      </w:tr>
    </w:tbl>
    <w:p>
      <w:pPr>
        <w:adjustRightInd w:val="0"/>
        <w:snapToGrid w:val="0"/>
        <w:spacing w:line="360" w:lineRule="auto"/>
        <w:jc w:val="center"/>
      </w:pPr>
    </w:p>
    <w:p>
      <w:pPr>
        <w:pStyle w:val="2"/>
        <w:spacing w:line="564" w:lineRule="exact"/>
        <w:ind w:right="57"/>
        <w:jc w:val="center"/>
        <w:rPr>
          <w:b w:val="0"/>
          <w:bCs w:val="0"/>
        </w:rPr>
      </w:pPr>
      <w:r>
        <w:rPr>
          <w:rFonts w:hint="eastAsia" w:ascii="宋体" w:hAnsi="宋体"/>
          <w:bCs w:val="0"/>
          <w:kern w:val="2"/>
          <w:sz w:val="36"/>
          <w:szCs w:val="21"/>
        </w:rPr>
        <w:t>说明：用户满意度的计算方法：对评价集{很满意，满意，一般，不满意，很差}赋分值{100,85,50,25,0}，根据各用户部门的满意度赋分值后计算均值。考评分数为85分及以下的为不达标，甲方有权终止合同。</w:t>
      </w:r>
      <w:r>
        <w:rPr>
          <w:rFonts w:ascii="宋体" w:hAnsi="宋体" w:cs="宋体"/>
          <w:szCs w:val="21"/>
        </w:rPr>
        <w:br w:type="page"/>
      </w:r>
      <w:bookmarkStart w:id="82" w:name="_Toc19698501"/>
      <w:r>
        <w:rPr>
          <w:rFonts w:hint="eastAsia"/>
          <w:b w:val="0"/>
          <w:bCs w:val="0"/>
        </w:rPr>
        <w:t>第五章</w:t>
      </w:r>
      <w:r>
        <w:rPr>
          <w:b w:val="0"/>
          <w:bCs w:val="0"/>
        </w:rPr>
        <w:t xml:space="preserve">  </w:t>
      </w:r>
      <w:r>
        <w:rPr>
          <w:rFonts w:hint="eastAsia"/>
          <w:b w:val="0"/>
          <w:bCs w:val="0"/>
        </w:rPr>
        <w:t>用户需求书</w:t>
      </w:r>
      <w:bookmarkEnd w:id="82"/>
    </w:p>
    <w:p>
      <w:pPr>
        <w:spacing w:line="360" w:lineRule="auto"/>
        <w:rPr>
          <w:b/>
          <w:sz w:val="24"/>
        </w:rPr>
      </w:pPr>
      <w:r>
        <w:rPr>
          <w:rFonts w:hint="eastAsia"/>
          <w:b/>
          <w:sz w:val="24"/>
        </w:rPr>
        <w:t>一、项目背景</w:t>
      </w:r>
    </w:p>
    <w:p>
      <w:pPr>
        <w:pStyle w:val="1872"/>
        <w:ind w:firstLine="420"/>
        <w:rPr>
          <w:rFonts w:ascii="宋体" w:eastAsia="宋体" w:cs="宋体"/>
          <w:b w:val="0"/>
          <w:snapToGrid w:val="0"/>
          <w:sz w:val="21"/>
          <w:szCs w:val="21"/>
        </w:rPr>
      </w:pPr>
      <w:r>
        <w:rPr>
          <w:rFonts w:hint="eastAsia" w:ascii="宋体" w:eastAsia="宋体" w:cs="宋体"/>
          <w:b w:val="0"/>
          <w:snapToGrid w:val="0"/>
          <w:sz w:val="21"/>
          <w:szCs w:val="21"/>
        </w:rPr>
        <w:t>1、本项目分为四个标段，费用按次结算，详细</w:t>
      </w:r>
      <w:r>
        <w:rPr>
          <w:rFonts w:ascii="宋体" w:eastAsia="宋体" w:cs="宋体"/>
          <w:b w:val="0"/>
          <w:snapToGrid w:val="0"/>
          <w:sz w:val="21"/>
          <w:szCs w:val="21"/>
        </w:rPr>
        <w:t>内容按合同条款执行</w:t>
      </w:r>
      <w:r>
        <w:rPr>
          <w:rFonts w:hint="eastAsia" w:ascii="宋体" w:eastAsia="宋体" w:cs="宋体"/>
          <w:b w:val="0"/>
          <w:snapToGrid w:val="0"/>
          <w:sz w:val="21"/>
          <w:szCs w:val="21"/>
        </w:rPr>
        <w:t>。</w:t>
      </w:r>
    </w:p>
    <w:p>
      <w:pPr>
        <w:adjustRightInd w:val="0"/>
        <w:snapToGrid w:val="0"/>
        <w:spacing w:line="400" w:lineRule="exact"/>
        <w:ind w:firstLine="420" w:firstLineChars="200"/>
        <w:rPr>
          <w:rFonts w:ascii="宋体" w:hAnsi="宋体"/>
          <w:szCs w:val="21"/>
        </w:rPr>
      </w:pPr>
      <w:r>
        <w:rPr>
          <w:rFonts w:hint="eastAsia" w:ascii="宋体" w:cs="宋体"/>
          <w:snapToGrid w:val="0"/>
          <w:szCs w:val="21"/>
        </w:rPr>
        <w:t>2、</w:t>
      </w:r>
      <w:r>
        <w:rPr>
          <w:rFonts w:hint="eastAsia" w:ascii="宋体" w:cs="Calibri"/>
          <w:sz w:val="22"/>
        </w:rPr>
        <w:t>服务期：</w:t>
      </w:r>
      <w:r>
        <w:rPr>
          <w:rFonts w:hint="eastAsia" w:ascii="宋体" w:hAnsi="宋体" w:cs="Arial"/>
          <w:kern w:val="0"/>
          <w:sz w:val="22"/>
        </w:rPr>
        <w:t>自合同</w:t>
      </w:r>
      <w:r>
        <w:rPr>
          <w:rFonts w:ascii="宋体" w:hAnsi="宋体" w:cs="Arial"/>
          <w:kern w:val="0"/>
          <w:sz w:val="22"/>
        </w:rPr>
        <w:t>签订之日起</w:t>
      </w:r>
      <w:r>
        <w:rPr>
          <w:rFonts w:hint="eastAsia" w:ascii="宋体" w:hAnsi="宋体" w:cs="Arial"/>
          <w:kern w:val="0"/>
          <w:sz w:val="22"/>
        </w:rPr>
        <w:t>2年</w:t>
      </w:r>
      <w:r>
        <w:rPr>
          <w:rFonts w:ascii="宋体" w:hAnsi="宋体" w:cs="Arial"/>
          <w:kern w:val="0"/>
          <w:sz w:val="22"/>
        </w:rPr>
        <w:t>。</w:t>
      </w:r>
      <w:r>
        <w:rPr>
          <w:rFonts w:hint="eastAsia" w:ascii="宋体" w:hAnsi="宋体" w:cs="宋体"/>
          <w:snapToGrid w:val="0"/>
          <w:kern w:val="0"/>
          <w:szCs w:val="21"/>
        </w:rPr>
        <w:t>第一年届满60日前，由招标人按照《考核细则》对乙方进行考核，考核结果达到【85】分视为考核合格，考核合格后，本合同自动顺延1年。如考核结果不合格，则招标人有权终止合同，并有权要求本项目的中标人赔偿后一年因更换承包商所产生的高于原合同费用的差价。</w:t>
      </w:r>
    </w:p>
    <w:p>
      <w:pPr>
        <w:numPr>
          <w:ilvl w:val="0"/>
          <w:numId w:val="37"/>
        </w:numPr>
        <w:spacing w:line="360" w:lineRule="auto"/>
        <w:rPr>
          <w:b/>
          <w:sz w:val="24"/>
        </w:rPr>
      </w:pPr>
      <w:r>
        <w:rPr>
          <w:rFonts w:hint="eastAsia"/>
          <w:b/>
          <w:sz w:val="24"/>
        </w:rPr>
        <w:t>本场设备清单</w:t>
      </w:r>
    </w:p>
    <w:tbl>
      <w:tblPr>
        <w:tblStyle w:val="89"/>
        <w:tblW w:w="4674" w:type="dxa"/>
        <w:tblInd w:w="613" w:type="dxa"/>
        <w:tblLayout w:type="fixed"/>
        <w:tblCellMar>
          <w:top w:w="0" w:type="dxa"/>
          <w:left w:w="108" w:type="dxa"/>
          <w:bottom w:w="0" w:type="dxa"/>
          <w:right w:w="108" w:type="dxa"/>
        </w:tblCellMar>
      </w:tblPr>
      <w:tblGrid>
        <w:gridCol w:w="820"/>
        <w:gridCol w:w="1340"/>
        <w:gridCol w:w="1097"/>
        <w:gridCol w:w="1417"/>
      </w:tblGrid>
      <w:tr>
        <w:tblPrEx>
          <w:tblLayout w:type="fixed"/>
          <w:tblCellMar>
            <w:top w:w="0" w:type="dxa"/>
            <w:left w:w="108" w:type="dxa"/>
            <w:bottom w:w="0" w:type="dxa"/>
            <w:right w:w="108" w:type="dxa"/>
          </w:tblCellMar>
        </w:tblPrEx>
        <w:trPr>
          <w:trHeight w:val="39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b/>
                <w:kern w:val="0"/>
                <w:sz w:val="22"/>
              </w:rPr>
            </w:pPr>
            <w:r>
              <w:rPr>
                <w:rFonts w:hint="eastAsia" w:ascii="宋体" w:hAnsi="宋体" w:cs="宋体"/>
                <w:b/>
                <w:kern w:val="0"/>
                <w:sz w:val="22"/>
              </w:rPr>
              <w:t>标段</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b/>
                <w:sz w:val="22"/>
              </w:rPr>
            </w:pPr>
            <w:r>
              <w:rPr>
                <w:rFonts w:hint="eastAsia" w:ascii="宋体" w:hAnsi="宋体" w:cs="宋体"/>
                <w:b/>
                <w:kern w:val="0"/>
                <w:sz w:val="22"/>
              </w:rPr>
              <w:t>设备名称</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b/>
                <w:sz w:val="22"/>
              </w:rPr>
            </w:pPr>
            <w:r>
              <w:rPr>
                <w:rFonts w:hint="eastAsia" w:ascii="宋体" w:hAnsi="宋体" w:cs="宋体"/>
                <w:b/>
                <w:kern w:val="0"/>
                <w:sz w:val="22"/>
              </w:rPr>
              <w:t>品牌</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b/>
                <w:sz w:val="22"/>
              </w:rPr>
            </w:pPr>
            <w:r>
              <w:rPr>
                <w:rFonts w:hint="eastAsia" w:ascii="宋体" w:hAnsi="宋体" w:cs="宋体"/>
                <w:b/>
                <w:sz w:val="22"/>
              </w:rPr>
              <w:t>数量（台）</w:t>
            </w:r>
          </w:p>
        </w:tc>
      </w:tr>
      <w:tr>
        <w:tblPrEx>
          <w:tblLayout w:type="fixed"/>
          <w:tblCellMar>
            <w:top w:w="0" w:type="dxa"/>
            <w:left w:w="108" w:type="dxa"/>
            <w:bottom w:w="0" w:type="dxa"/>
            <w:right w:w="108" w:type="dxa"/>
          </w:tblCellMar>
        </w:tblPrEx>
        <w:trPr>
          <w:trHeight w:val="60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1</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ascii="宋体" w:hAnsi="宋体" w:cs="宋体"/>
                <w:sz w:val="20"/>
                <w:szCs w:val="20"/>
              </w:rPr>
              <w:t>IONSCAN 400 B</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史密斯</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22</w:t>
            </w:r>
          </w:p>
        </w:tc>
      </w:tr>
      <w:tr>
        <w:tblPrEx>
          <w:tblLayout w:type="fixed"/>
          <w:tblCellMar>
            <w:top w:w="0" w:type="dxa"/>
            <w:left w:w="108" w:type="dxa"/>
            <w:bottom w:w="0" w:type="dxa"/>
            <w:right w:w="108" w:type="dxa"/>
          </w:tblCellMar>
        </w:tblPrEx>
        <w:trPr>
          <w:trHeight w:val="60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2</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ascii="宋体" w:hAnsi="宋体" w:cs="宋体"/>
                <w:sz w:val="20"/>
                <w:szCs w:val="20"/>
              </w:rPr>
              <w:t>ITEMISER3</w:t>
            </w:r>
            <w:r>
              <w:rPr>
                <w:rFonts w:hint="eastAsia" w:ascii="宋体" w:hAnsi="宋体" w:cs="宋体"/>
                <w:sz w:val="20"/>
                <w:szCs w:val="20"/>
              </w:rPr>
              <w:t>E</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Mophore</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31</w:t>
            </w:r>
          </w:p>
        </w:tc>
      </w:tr>
      <w:tr>
        <w:tblPrEx>
          <w:tblLayout w:type="fixed"/>
          <w:tblCellMar>
            <w:top w:w="0" w:type="dxa"/>
            <w:left w:w="108" w:type="dxa"/>
            <w:bottom w:w="0" w:type="dxa"/>
            <w:right w:w="108" w:type="dxa"/>
          </w:tblCellMar>
        </w:tblPrEx>
        <w:trPr>
          <w:trHeight w:val="60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3</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QS-B220</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Implant Scinece</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9</w:t>
            </w:r>
          </w:p>
        </w:tc>
      </w:tr>
      <w:tr>
        <w:tblPrEx>
          <w:tblLayout w:type="fixed"/>
          <w:tblCellMar>
            <w:top w:w="0" w:type="dxa"/>
            <w:left w:w="108" w:type="dxa"/>
            <w:bottom w:w="0" w:type="dxa"/>
            <w:right w:w="108" w:type="dxa"/>
          </w:tblCellMar>
        </w:tblPrEx>
        <w:trPr>
          <w:trHeight w:val="60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4</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TR2000DB</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同方威视</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4</w:t>
            </w:r>
          </w:p>
        </w:tc>
      </w:tr>
    </w:tbl>
    <w:p>
      <w:pPr>
        <w:adjustRightInd w:val="0"/>
        <w:snapToGrid w:val="0"/>
        <w:spacing w:line="360" w:lineRule="auto"/>
        <w:rPr>
          <w:rFonts w:ascii="宋体" w:hAnsi="宋体"/>
          <w:b/>
          <w:szCs w:val="21"/>
        </w:rPr>
      </w:pPr>
    </w:p>
    <w:p>
      <w:pPr>
        <w:adjustRightInd w:val="0"/>
        <w:snapToGrid w:val="0"/>
        <w:spacing w:line="360" w:lineRule="auto"/>
        <w:rPr>
          <w:rFonts w:ascii="宋体" w:hAnsi="宋体"/>
          <w:b/>
          <w:sz w:val="24"/>
        </w:rPr>
      </w:pPr>
      <w:r>
        <w:rPr>
          <w:rFonts w:hint="eastAsia" w:ascii="宋体" w:hAnsi="宋体"/>
          <w:b/>
          <w:sz w:val="24"/>
        </w:rPr>
        <w:t>三、配件及耗材清单：</w:t>
      </w:r>
    </w:p>
    <w:p>
      <w:pPr>
        <w:adjustRightInd w:val="0"/>
        <w:snapToGrid w:val="0"/>
        <w:spacing w:line="360" w:lineRule="auto"/>
        <w:rPr>
          <w:rFonts w:ascii="宋体" w:hAnsi="宋体"/>
          <w:b/>
          <w:sz w:val="24"/>
        </w:rPr>
      </w:pPr>
      <w:r>
        <w:rPr>
          <w:rFonts w:hint="eastAsia"/>
          <w:b/>
        </w:rPr>
        <w:t>以下采购量为年预估数值，为参考值，非实际供货量。</w:t>
      </w:r>
    </w:p>
    <w:p>
      <w:pPr>
        <w:adjustRightInd w:val="0"/>
        <w:snapToGrid w:val="0"/>
        <w:spacing w:line="360" w:lineRule="auto"/>
        <w:rPr>
          <w:rFonts w:ascii="宋体" w:hAnsi="宋体" w:cs="宋体"/>
          <w:b/>
          <w:sz w:val="20"/>
          <w:szCs w:val="20"/>
        </w:rPr>
      </w:pPr>
      <w:r>
        <w:rPr>
          <w:rFonts w:hint="eastAsia" w:ascii="宋体" w:hAnsi="宋体"/>
          <w:b/>
          <w:sz w:val="24"/>
        </w:rPr>
        <w:t>标项一：</w:t>
      </w:r>
      <w:r>
        <w:rPr>
          <w:rFonts w:ascii="宋体" w:hAnsi="宋体" w:cs="宋体"/>
          <w:b/>
          <w:sz w:val="20"/>
          <w:szCs w:val="20"/>
        </w:rPr>
        <w:t>IONSCAN 400 B</w:t>
      </w:r>
      <w:r>
        <w:rPr>
          <w:rFonts w:hint="eastAsia" w:ascii="宋体" w:hAnsi="宋体" w:cs="宋体"/>
          <w:b/>
          <w:sz w:val="20"/>
          <w:szCs w:val="20"/>
        </w:rPr>
        <w:t>维修配件及耗材要求：</w:t>
      </w:r>
    </w:p>
    <w:p>
      <w:pPr>
        <w:adjustRightInd w:val="0"/>
        <w:snapToGrid w:val="0"/>
        <w:spacing w:line="360" w:lineRule="auto"/>
        <w:rPr>
          <w:rFonts w:ascii="宋体" w:hAnsi="宋体" w:cs="宋体"/>
          <w:sz w:val="20"/>
          <w:szCs w:val="20"/>
        </w:rPr>
      </w:pPr>
      <w:r>
        <w:rPr>
          <w:rFonts w:hint="eastAsia" w:ascii="宋体" w:hAnsi="宋体" w:cs="宋体"/>
          <w:b/>
          <w:bCs/>
          <w:sz w:val="20"/>
          <w:szCs w:val="20"/>
        </w:rPr>
        <w:t>1.</w:t>
      </w:r>
      <w:r>
        <w:rPr>
          <w:rFonts w:ascii="宋体" w:hAnsi="宋体" w:cs="宋体"/>
          <w:b/>
          <w:sz w:val="20"/>
          <w:szCs w:val="20"/>
        </w:rPr>
        <w:t xml:space="preserve"> IONSCAN 400 B</w:t>
      </w:r>
      <w:r>
        <w:rPr>
          <w:rFonts w:hint="eastAsia" w:ascii="宋体" w:hAnsi="宋体"/>
          <w:b/>
          <w:szCs w:val="21"/>
        </w:rPr>
        <w:t>型配件及耗材</w:t>
      </w:r>
      <w:r>
        <w:rPr>
          <w:rFonts w:hint="eastAsia" w:ascii="宋体" w:hAnsi="宋体" w:cs="宋体"/>
          <w:b/>
          <w:bCs/>
          <w:sz w:val="20"/>
          <w:szCs w:val="20"/>
        </w:rPr>
        <w:t>求</w:t>
      </w:r>
    </w:p>
    <w:tbl>
      <w:tblPr>
        <w:tblStyle w:val="89"/>
        <w:tblW w:w="8237" w:type="dxa"/>
        <w:tblInd w:w="93" w:type="dxa"/>
        <w:tblLayout w:type="fixed"/>
        <w:tblCellMar>
          <w:top w:w="0" w:type="dxa"/>
          <w:left w:w="108" w:type="dxa"/>
          <w:bottom w:w="0" w:type="dxa"/>
          <w:right w:w="108" w:type="dxa"/>
        </w:tblCellMar>
      </w:tblPr>
      <w:tblGrid>
        <w:gridCol w:w="1008"/>
        <w:gridCol w:w="3118"/>
        <w:gridCol w:w="1674"/>
        <w:gridCol w:w="2437"/>
      </w:tblGrid>
      <w:tr>
        <w:tblPrEx>
          <w:tblLayout w:type="fixed"/>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备件分类</w:t>
            </w:r>
          </w:p>
        </w:tc>
        <w:tc>
          <w:tcPr>
            <w:tcW w:w="31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备件名称</w:t>
            </w:r>
          </w:p>
        </w:tc>
        <w:tc>
          <w:tcPr>
            <w:tcW w:w="167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2437" w:type="dxa"/>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2"/>
              </w:rPr>
            </w:pPr>
            <w:r>
              <w:rPr>
                <w:rFonts w:hint="eastAsia" w:ascii="宋体" w:hAnsi="宋体" w:cs="宋体"/>
                <w:b/>
                <w:bCs/>
                <w:color w:val="000000"/>
                <w:kern w:val="0"/>
                <w:sz w:val="22"/>
              </w:rPr>
              <w:t>年预估数量</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气流泵</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真空泵</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流</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气流阀</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真空阀</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部</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泄压阀</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安全阀</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分</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三路通断电磁阀</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气流模块组件</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多路气流整合器（4路）</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多路气流整合器（6路）</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多路气流整合器（8路）</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多路气流整合器（16路）</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8</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迁移管气流输出组件</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解吸器气流进气管</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Nafion管组件</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管</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气路管线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直插式过滤装置连接器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路</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NARC气流管连接器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EXPL气流管连接器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部</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DPT气流管连接器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EXHST气流管连接器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分</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D11管接螺母</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D12管接螺母</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D11管接内丝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D12管接内丝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过</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干燥剂</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1000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滤</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干燥剂接头</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物</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空气过滤嘴</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150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质</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聚合物过滤器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150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部</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金属过滤器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分</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水气过滤器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杂质过滤器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蒸发器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蒸发器限位销</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气泵位风扇散热架</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电路位风扇散热架</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w:t>
            </w:r>
          </w:p>
        </w:tc>
        <w:tc>
          <w:tcPr>
            <w:tcW w:w="31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冷凝管</w:t>
            </w:r>
          </w:p>
        </w:tc>
        <w:tc>
          <w:tcPr>
            <w:tcW w:w="16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single" w:color="auto" w:sz="4" w:space="0"/>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80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成</w:t>
            </w:r>
          </w:p>
        </w:tc>
        <w:tc>
          <w:tcPr>
            <w:tcW w:w="31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6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37" w:type="dxa"/>
            <w:tcBorders>
              <w:top w:val="nil"/>
              <w:left w:val="single" w:color="auto" w:sz="4" w:space="0"/>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80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物</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反应物</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质</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检爆模式校准物</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部</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检爆模式确认标准笔</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分</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入口玻璃衬垫</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取样托盘</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取样托盘垫圈</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80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取样托盘滑块</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取样托盘限位销</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取样托盘卡子</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取样托盘传感器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取样托盘接触器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金</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杂质过滤器定位架</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属</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电路板限位固定销</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物</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内部电路元件固定架</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质</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取样监测器外盖板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部</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检测仪后盖板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分</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线束线缆紧顶滑片</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显示屏固定螺丝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取样托盘滑块固定螺丝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风扇散热架固定螺丝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气流模块固定螺丝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IMS迁移管固定螺丝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前置放大器固定螺丝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反应物固定皮带</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多接口集成电路板固定螺丝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多输出电源组件固定螺丝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电源位地线固定螺柱</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电路板限位固定销螺丝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散热风扇固定螺丝</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地脚脚垫</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气泵供电芯片</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气流模块控制主板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触摸显示屏控制面板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显示屏屏线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前置放大器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IMS迁移管</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迁移管控制芯片</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迁移管加热集成系统</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迁移管信号集成系统</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16路气流整合器供电线束</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路</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高压电源模块</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高压模块数据线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部</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迁移管控制芯片数据线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前置放大器数据线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分</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多输出电源组件</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多输出电源组件数据线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多接口集成数字电路板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外部控制端口模组</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外置输出接口传感器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散热风扇</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20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数字模拟电路板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CPU电路板</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CPU图形处理组件</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CPU电路板内存</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解吸器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解吸器马达</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解吸器供电组件</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外部耗材部分</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取样器</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压纸圈</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载纸卡</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国产取样布</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进口取样布</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维修服务</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现场维保(含差旅费)</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台次</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20</w:t>
            </w:r>
          </w:p>
        </w:tc>
      </w:tr>
      <w:tr>
        <w:tblPrEx>
          <w:tblLayout w:type="fixed"/>
          <w:tblCellMar>
            <w:top w:w="0" w:type="dxa"/>
            <w:left w:w="108" w:type="dxa"/>
            <w:bottom w:w="0" w:type="dxa"/>
            <w:right w:w="108" w:type="dxa"/>
          </w:tblCellMar>
        </w:tblPrEx>
        <w:trPr>
          <w:trHeight w:val="270"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整机返修(含运费)</w:t>
            </w: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台次</w:t>
            </w:r>
          </w:p>
        </w:tc>
        <w:tc>
          <w:tcPr>
            <w:tcW w:w="2437"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bl>
    <w:p>
      <w:pPr>
        <w:adjustRightInd w:val="0"/>
        <w:snapToGrid w:val="0"/>
        <w:spacing w:line="360" w:lineRule="auto"/>
        <w:rPr>
          <w:rFonts w:ascii="宋体" w:hAnsi="宋体" w:cs="宋体"/>
          <w:b/>
          <w:bCs/>
          <w:sz w:val="20"/>
          <w:szCs w:val="20"/>
        </w:rPr>
      </w:pPr>
    </w:p>
    <w:p>
      <w:pPr>
        <w:adjustRightInd w:val="0"/>
        <w:snapToGrid w:val="0"/>
        <w:spacing w:line="360" w:lineRule="auto"/>
        <w:rPr>
          <w:rFonts w:ascii="宋体" w:hAnsi="宋体" w:cs="宋体"/>
          <w:b/>
          <w:sz w:val="20"/>
          <w:szCs w:val="20"/>
        </w:rPr>
      </w:pPr>
      <w:r>
        <w:rPr>
          <w:rFonts w:hint="eastAsia" w:ascii="宋体" w:hAnsi="宋体"/>
          <w:b/>
          <w:sz w:val="24"/>
        </w:rPr>
        <w:t>标项二：</w:t>
      </w:r>
      <w:r>
        <w:rPr>
          <w:rFonts w:ascii="宋体" w:hAnsi="宋体" w:cs="宋体"/>
          <w:b/>
          <w:sz w:val="20"/>
          <w:szCs w:val="20"/>
        </w:rPr>
        <w:t>ITEMISER3</w:t>
      </w:r>
      <w:r>
        <w:rPr>
          <w:rFonts w:hint="eastAsia" w:ascii="宋体" w:hAnsi="宋体" w:cs="宋体"/>
          <w:b/>
          <w:sz w:val="20"/>
          <w:szCs w:val="20"/>
        </w:rPr>
        <w:t>E维修配件及耗材要求：</w:t>
      </w:r>
    </w:p>
    <w:p>
      <w:pPr>
        <w:adjustRightInd w:val="0"/>
        <w:snapToGrid w:val="0"/>
        <w:spacing w:line="360" w:lineRule="auto"/>
        <w:rPr>
          <w:rFonts w:ascii="宋体" w:hAnsi="宋体"/>
          <w:b/>
          <w:szCs w:val="21"/>
        </w:rPr>
      </w:pPr>
      <w:r>
        <w:rPr>
          <w:rFonts w:hint="eastAsia" w:ascii="宋体" w:hAnsi="宋体" w:cs="宋体"/>
          <w:b/>
          <w:bCs/>
          <w:sz w:val="20"/>
          <w:szCs w:val="20"/>
        </w:rPr>
        <w:t>2.</w:t>
      </w:r>
      <w:r>
        <w:rPr>
          <w:rFonts w:ascii="宋体" w:hAnsi="宋体" w:cs="宋体"/>
          <w:b/>
          <w:sz w:val="20"/>
          <w:szCs w:val="20"/>
        </w:rPr>
        <w:t xml:space="preserve"> ITEMISER3</w:t>
      </w:r>
      <w:r>
        <w:rPr>
          <w:rFonts w:hint="eastAsia" w:ascii="宋体" w:hAnsi="宋体" w:cs="宋体"/>
          <w:b/>
          <w:sz w:val="20"/>
          <w:szCs w:val="20"/>
        </w:rPr>
        <w:t>E</w:t>
      </w:r>
      <w:r>
        <w:rPr>
          <w:rFonts w:hint="eastAsia" w:ascii="宋体" w:hAnsi="宋体"/>
          <w:b/>
          <w:szCs w:val="21"/>
        </w:rPr>
        <w:t>型配件及耗材</w:t>
      </w:r>
      <w:r>
        <w:rPr>
          <w:rFonts w:hint="eastAsia" w:ascii="宋体" w:hAnsi="宋体" w:cs="宋体"/>
          <w:b/>
          <w:bCs/>
          <w:sz w:val="20"/>
          <w:szCs w:val="20"/>
        </w:rPr>
        <w:t>求</w:t>
      </w:r>
    </w:p>
    <w:tbl>
      <w:tblPr>
        <w:tblStyle w:val="89"/>
        <w:tblW w:w="8237" w:type="dxa"/>
        <w:tblInd w:w="93" w:type="dxa"/>
        <w:tblLayout w:type="fixed"/>
        <w:tblCellMar>
          <w:top w:w="0" w:type="dxa"/>
          <w:left w:w="108" w:type="dxa"/>
          <w:bottom w:w="0" w:type="dxa"/>
          <w:right w:w="108" w:type="dxa"/>
        </w:tblCellMar>
      </w:tblPr>
      <w:tblGrid>
        <w:gridCol w:w="1008"/>
        <w:gridCol w:w="3118"/>
        <w:gridCol w:w="1418"/>
        <w:gridCol w:w="2693"/>
      </w:tblGrid>
      <w:tr>
        <w:tblPrEx>
          <w:tblLayout w:type="fixed"/>
          <w:tblCellMar>
            <w:top w:w="0" w:type="dxa"/>
            <w:left w:w="108" w:type="dxa"/>
            <w:bottom w:w="0" w:type="dxa"/>
            <w:right w:w="108" w:type="dxa"/>
          </w:tblCellMar>
        </w:tblPrEx>
        <w:trPr>
          <w:trHeight w:val="375"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31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耗材名称</w:t>
            </w: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单位</w:t>
            </w:r>
          </w:p>
        </w:tc>
        <w:tc>
          <w:tcPr>
            <w:tcW w:w="2693" w:type="dxa"/>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年预估数量</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吸嘴</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白色密封圆盘</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PTEE管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软塑料管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前置放大板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交流电源板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专用打印机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传感器板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循环泵</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电源分配板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高压板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再生式干燥剂系统</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采集器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数据采集板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专用计算机主板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专用程序磁盘</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真空吸附器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Mode change Door</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电池</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采样棒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吸嘴旋口固定盘</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Desorber上盖</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5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I3E干燥剂管上盖(定制）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5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I3E机身主机上盖 （不含屏幕和底座）</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电磁阀（SMC）</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5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26</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IT3E探测腔(交换维修）</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27</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IT3E探测腔</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69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28</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I3E屏幕前面板(SAFRAN)（无后盖）</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29</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I3E屏幕</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个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采样试纸</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（100片/盒）</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校准试纸</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25片/盒　</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阴离子检测试剂</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33</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阳离子检测试剂</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34</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清洁手套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包</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清洁空气</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袋</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清洁棉巾</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（50片/盒）</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37</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酒精清洁棉棒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(25个/盒）</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38</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圆片型过滤器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42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39</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干燥剂，分子筛型（）</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滤网</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41</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采样棒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42</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校准笔</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43</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打印纸</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44</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半透膜套件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45</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采样/干燥过滤器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46</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采样泵过滤器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47</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现场维修</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台次</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整机返修(不含运费)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台次</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bl>
    <w:p>
      <w:pPr>
        <w:adjustRightInd w:val="0"/>
        <w:snapToGrid w:val="0"/>
        <w:spacing w:line="360" w:lineRule="auto"/>
        <w:rPr>
          <w:rFonts w:ascii="宋体" w:hAnsi="宋体"/>
          <w:b/>
          <w:sz w:val="24"/>
        </w:rPr>
      </w:pPr>
    </w:p>
    <w:p>
      <w:pPr>
        <w:adjustRightInd w:val="0"/>
        <w:snapToGrid w:val="0"/>
        <w:spacing w:line="360" w:lineRule="auto"/>
        <w:rPr>
          <w:rFonts w:ascii="宋体" w:hAnsi="宋体" w:cs="宋体"/>
          <w:b/>
          <w:sz w:val="20"/>
          <w:szCs w:val="20"/>
        </w:rPr>
      </w:pPr>
      <w:r>
        <w:rPr>
          <w:rFonts w:hint="eastAsia" w:ascii="宋体" w:hAnsi="宋体"/>
          <w:b/>
          <w:sz w:val="24"/>
        </w:rPr>
        <w:t>标项三：</w:t>
      </w:r>
      <w:r>
        <w:rPr>
          <w:rFonts w:hint="eastAsia" w:ascii="宋体" w:hAnsi="宋体" w:cs="宋体"/>
          <w:b/>
          <w:sz w:val="20"/>
          <w:szCs w:val="20"/>
        </w:rPr>
        <w:t>QS-B220维修配件及耗材要求：</w:t>
      </w:r>
    </w:p>
    <w:p>
      <w:pPr>
        <w:adjustRightInd w:val="0"/>
        <w:snapToGrid w:val="0"/>
        <w:spacing w:line="360" w:lineRule="auto"/>
        <w:rPr>
          <w:rFonts w:ascii="宋体" w:hAnsi="宋体"/>
          <w:b/>
          <w:szCs w:val="21"/>
        </w:rPr>
      </w:pPr>
      <w:r>
        <w:rPr>
          <w:rFonts w:hint="eastAsia" w:ascii="宋体" w:hAnsi="宋体" w:cs="宋体"/>
          <w:b/>
          <w:bCs/>
          <w:sz w:val="20"/>
          <w:szCs w:val="20"/>
        </w:rPr>
        <w:t>3.</w:t>
      </w:r>
      <w:r>
        <w:rPr>
          <w:rFonts w:ascii="宋体" w:hAnsi="宋体" w:cs="宋体"/>
          <w:b/>
          <w:sz w:val="20"/>
          <w:szCs w:val="20"/>
        </w:rPr>
        <w:t xml:space="preserve"> </w:t>
      </w:r>
      <w:r>
        <w:rPr>
          <w:rFonts w:hint="eastAsia" w:ascii="宋体" w:hAnsi="宋体" w:cs="宋体"/>
          <w:b/>
          <w:sz w:val="20"/>
          <w:szCs w:val="20"/>
        </w:rPr>
        <w:t>QS-B220</w:t>
      </w:r>
      <w:r>
        <w:rPr>
          <w:rFonts w:hint="eastAsia" w:ascii="宋体" w:hAnsi="宋体"/>
          <w:b/>
          <w:szCs w:val="21"/>
        </w:rPr>
        <w:t>型配件及耗材</w:t>
      </w:r>
      <w:r>
        <w:rPr>
          <w:rFonts w:hint="eastAsia" w:ascii="宋体" w:hAnsi="宋体" w:cs="宋体"/>
          <w:b/>
          <w:bCs/>
          <w:sz w:val="20"/>
          <w:szCs w:val="20"/>
        </w:rPr>
        <w:t>求</w:t>
      </w:r>
    </w:p>
    <w:tbl>
      <w:tblPr>
        <w:tblStyle w:val="89"/>
        <w:tblW w:w="8237" w:type="dxa"/>
        <w:tblInd w:w="93" w:type="dxa"/>
        <w:tblLayout w:type="fixed"/>
        <w:tblCellMar>
          <w:top w:w="0" w:type="dxa"/>
          <w:left w:w="108" w:type="dxa"/>
          <w:bottom w:w="0" w:type="dxa"/>
          <w:right w:w="108" w:type="dxa"/>
        </w:tblCellMar>
      </w:tblPr>
      <w:tblGrid>
        <w:gridCol w:w="1080"/>
        <w:gridCol w:w="3046"/>
        <w:gridCol w:w="1418"/>
        <w:gridCol w:w="2693"/>
      </w:tblGrid>
      <w:tr>
        <w:tblPrEx>
          <w:tblLayout w:type="fixed"/>
          <w:tblCellMar>
            <w:top w:w="0" w:type="dxa"/>
            <w:left w:w="108" w:type="dxa"/>
            <w:bottom w:w="0" w:type="dxa"/>
            <w:right w:w="108" w:type="dxa"/>
          </w:tblCellMar>
        </w:tblPrEx>
        <w:trPr>
          <w:trHeight w:val="37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30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耗材名称</w:t>
            </w: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单位</w:t>
            </w:r>
          </w:p>
        </w:tc>
        <w:tc>
          <w:tcPr>
            <w:tcW w:w="2693" w:type="dxa"/>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年预估数量</w:t>
            </w:r>
          </w:p>
        </w:tc>
      </w:tr>
      <w:tr>
        <w:tblPrEx>
          <w:tblLayout w:type="fixed"/>
          <w:tblCellMar>
            <w:top w:w="0" w:type="dxa"/>
            <w:left w:w="108" w:type="dxa"/>
            <w:bottom w:w="0" w:type="dxa"/>
            <w:right w:w="108" w:type="dxa"/>
          </w:tblCellMar>
        </w:tblPrEx>
        <w:trPr>
          <w:trHeight w:val="55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取样试纸（、DSA原厂）</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100片/盒</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200</w:t>
            </w:r>
          </w:p>
        </w:tc>
      </w:tr>
      <w:tr>
        <w:tblPrEx>
          <w:tblLayout w:type="fixed"/>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确认样品A（阴性）</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支</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确认样品B（阳性）</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支</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4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干燥罐（）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4支套装</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150</w:t>
            </w:r>
          </w:p>
        </w:tc>
      </w:tr>
      <w:tr>
        <w:tblPrEx>
          <w:tblLayout w:type="fixed"/>
          <w:tblCellMar>
            <w:top w:w="0" w:type="dxa"/>
            <w:left w:w="108" w:type="dxa"/>
            <w:bottom w:w="0" w:type="dxa"/>
            <w:right w:w="108" w:type="dxa"/>
          </w:tblCellMar>
        </w:tblPrEx>
        <w:trPr>
          <w:trHeight w:val="39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循环干燥罐（）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4支套装</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150</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长效试剂（阴性）</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支</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长效试剂（阳性）</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支</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镜面窗口加热组件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紫外灯组件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触发器模块电缆线组件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B220解析器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气体清洁件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B220采样风扇电缆组件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开机开关电缆组件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2路电磁阀</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LCD触摸屏</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宝石镀金镜面</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气流传感器，1000 SCCM 10伏</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2.5”固态硬盘</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紫外灯</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电源输入模块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RB3，H150探测器控制板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RB6，电源分配板，H150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RB2-负模式</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RB28，紫外灯控制板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RB29，高压板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27</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RB31，LPT集线器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RB2，正模式板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64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29</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RB9，B220温度湿度传感器板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30</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背景灯/扬声器板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31</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B220正模式干燥剂泵</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32</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B220负模式干燥剂泵</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33</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RB1，正模式</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34</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RB26，正模式接口板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35</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RB26，负模式接口板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RB7板（CE认证），没有接地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37</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B220负模式校准物腔，硝基香兰素</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38</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B220负模式试剂腔，六氯乙烷</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39</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渗透管 烟酰胺 14.5cm</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B220计算机组件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3路输出直流电源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42</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现场维修</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台次</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w:t>
            </w:r>
          </w:p>
        </w:tc>
        <w:tc>
          <w:tcPr>
            <w:tcW w:w="3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整机返修(不含运费)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台次</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1</w:t>
            </w:r>
          </w:p>
        </w:tc>
      </w:tr>
    </w:tbl>
    <w:p>
      <w:pPr>
        <w:adjustRightInd w:val="0"/>
        <w:snapToGrid w:val="0"/>
        <w:spacing w:line="360" w:lineRule="auto"/>
        <w:rPr>
          <w:rFonts w:ascii="宋体" w:hAnsi="宋体" w:cs="宋体"/>
          <w:b/>
          <w:sz w:val="20"/>
          <w:szCs w:val="20"/>
        </w:rPr>
      </w:pPr>
      <w:r>
        <w:rPr>
          <w:rFonts w:hint="eastAsia" w:ascii="宋体" w:hAnsi="宋体"/>
          <w:b/>
          <w:sz w:val="24"/>
        </w:rPr>
        <w:t>标项四：</w:t>
      </w:r>
      <w:r>
        <w:rPr>
          <w:rFonts w:hint="eastAsia" w:ascii="宋体" w:hAnsi="宋体" w:cs="宋体"/>
          <w:b/>
          <w:sz w:val="20"/>
          <w:szCs w:val="20"/>
        </w:rPr>
        <w:t>TR2000DB维修配件及耗材要求：</w:t>
      </w:r>
    </w:p>
    <w:p>
      <w:pPr>
        <w:adjustRightInd w:val="0"/>
        <w:snapToGrid w:val="0"/>
        <w:spacing w:line="360" w:lineRule="auto"/>
        <w:rPr>
          <w:rFonts w:ascii="宋体" w:hAnsi="宋体"/>
          <w:b/>
          <w:szCs w:val="21"/>
        </w:rPr>
      </w:pPr>
      <w:r>
        <w:rPr>
          <w:rFonts w:hint="eastAsia" w:ascii="宋体" w:hAnsi="宋体" w:cs="宋体"/>
          <w:b/>
          <w:bCs/>
          <w:sz w:val="20"/>
          <w:szCs w:val="20"/>
        </w:rPr>
        <w:t>4.</w:t>
      </w:r>
      <w:r>
        <w:rPr>
          <w:rFonts w:hint="eastAsia" w:ascii="宋体" w:hAnsi="宋体" w:cs="宋体"/>
          <w:b/>
          <w:sz w:val="20"/>
          <w:szCs w:val="20"/>
        </w:rPr>
        <w:t>TR2000DB</w:t>
      </w:r>
      <w:r>
        <w:rPr>
          <w:rFonts w:hint="eastAsia" w:ascii="宋体" w:hAnsi="宋体"/>
          <w:b/>
          <w:szCs w:val="21"/>
        </w:rPr>
        <w:t>型配件及耗材</w:t>
      </w:r>
      <w:r>
        <w:rPr>
          <w:rFonts w:hint="eastAsia" w:ascii="宋体" w:hAnsi="宋体" w:cs="宋体"/>
          <w:b/>
          <w:bCs/>
          <w:sz w:val="20"/>
          <w:szCs w:val="20"/>
        </w:rPr>
        <w:t>求</w:t>
      </w:r>
    </w:p>
    <w:tbl>
      <w:tblPr>
        <w:tblStyle w:val="89"/>
        <w:tblW w:w="8237" w:type="dxa"/>
        <w:tblInd w:w="93" w:type="dxa"/>
        <w:tblLayout w:type="fixed"/>
        <w:tblCellMar>
          <w:top w:w="0" w:type="dxa"/>
          <w:left w:w="108" w:type="dxa"/>
          <w:bottom w:w="0" w:type="dxa"/>
          <w:right w:w="108" w:type="dxa"/>
        </w:tblCellMar>
      </w:tblPr>
      <w:tblGrid>
        <w:gridCol w:w="1080"/>
        <w:gridCol w:w="3046"/>
        <w:gridCol w:w="1418"/>
        <w:gridCol w:w="2693"/>
      </w:tblGrid>
      <w:tr>
        <w:tblPrEx>
          <w:tblLayout w:type="fixed"/>
          <w:tblCellMar>
            <w:top w:w="0" w:type="dxa"/>
            <w:left w:w="108" w:type="dxa"/>
            <w:bottom w:w="0" w:type="dxa"/>
            <w:right w:w="108" w:type="dxa"/>
          </w:tblCellMar>
        </w:tblPrEx>
        <w:trPr>
          <w:trHeight w:val="37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30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名 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单位</w:t>
            </w:r>
          </w:p>
        </w:tc>
        <w:tc>
          <w:tcPr>
            <w:tcW w:w="2693" w:type="dxa"/>
            <w:tcBorders>
              <w:top w:val="single" w:color="auto" w:sz="4" w:space="0"/>
              <w:left w:val="nil"/>
              <w:bottom w:val="single" w:color="auto" w:sz="4" w:space="0"/>
              <w:right w:val="single" w:color="auto" w:sz="4" w:space="0"/>
            </w:tcBorders>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年预估数量</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进样气泵（二代用）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迁移气泵（二代用）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聚四氟乙烯气管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擦拭取样器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TR2000DB激活半透膜套件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电池（带电池版专用）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工控板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工控机接口板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控制板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工控盒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触摸液晶屏</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打印机单元组件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风扇</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负前放盒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正前放盒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高压盒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49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进样器组件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迁移管整件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3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滤料包（耗材）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标定笔（耗材）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69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二号拭纸-B(3200张)（耗材）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46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热敏打印纸（耗材）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整机返修(含往返运费)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台次</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3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现场维修(含交通住宿人员等费)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台次</w:t>
            </w:r>
          </w:p>
        </w:tc>
        <w:tc>
          <w:tcPr>
            <w:tcW w:w="2693"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bl>
    <w:p>
      <w:pPr>
        <w:adjustRightInd w:val="0"/>
        <w:snapToGrid w:val="0"/>
        <w:spacing w:line="360" w:lineRule="auto"/>
        <w:rPr>
          <w:rFonts w:ascii="宋体" w:hAnsi="宋体"/>
          <w:b/>
          <w:szCs w:val="21"/>
        </w:rPr>
      </w:pPr>
      <w:r>
        <w:rPr>
          <w:rFonts w:hint="eastAsia" w:ascii="宋体" w:hAnsi="宋体"/>
          <w:b/>
          <w:szCs w:val="21"/>
        </w:rPr>
        <w:t>说明：</w:t>
      </w:r>
    </w:p>
    <w:p>
      <w:pPr>
        <w:numPr>
          <w:ilvl w:val="0"/>
          <w:numId w:val="38"/>
        </w:numPr>
        <w:adjustRightInd w:val="0"/>
        <w:snapToGrid w:val="0"/>
        <w:spacing w:line="360" w:lineRule="auto"/>
        <w:rPr>
          <w:rFonts w:ascii="宋体" w:hAnsi="宋体"/>
          <w:b/>
          <w:szCs w:val="21"/>
        </w:rPr>
      </w:pPr>
      <w:r>
        <w:rPr>
          <w:rFonts w:hint="eastAsia" w:ascii="宋体" w:hAnsi="宋体"/>
          <w:b/>
          <w:szCs w:val="21"/>
        </w:rPr>
        <w:t>上述列表中的“</w:t>
      </w:r>
      <w:r>
        <w:rPr>
          <w:rFonts w:hint="eastAsia"/>
          <w:b/>
        </w:rPr>
        <w:t>年预估数量</w:t>
      </w:r>
      <w:r>
        <w:rPr>
          <w:rFonts w:hint="eastAsia" w:ascii="宋体" w:hAnsi="宋体"/>
          <w:b/>
          <w:szCs w:val="21"/>
        </w:rPr>
        <w:t>”为预估数量，不作为最终的成交数量,也</w:t>
      </w:r>
      <w:r>
        <w:rPr>
          <w:rFonts w:ascii="宋体" w:hAnsi="宋体"/>
          <w:b/>
          <w:szCs w:val="21"/>
        </w:rPr>
        <w:t>不作为合同期内最低</w:t>
      </w:r>
      <w:r>
        <w:rPr>
          <w:rFonts w:hint="eastAsia" w:ascii="宋体" w:hAnsi="宋体"/>
          <w:b/>
          <w:szCs w:val="21"/>
        </w:rPr>
        <w:t>采购</w:t>
      </w:r>
      <w:r>
        <w:rPr>
          <w:rFonts w:ascii="宋体" w:hAnsi="宋体"/>
          <w:b/>
          <w:szCs w:val="21"/>
        </w:rPr>
        <w:t>额度</w:t>
      </w:r>
      <w:r>
        <w:rPr>
          <w:rFonts w:hint="eastAsia" w:ascii="宋体" w:hAnsi="宋体"/>
          <w:b/>
          <w:szCs w:val="21"/>
        </w:rPr>
        <w:t>。</w:t>
      </w:r>
    </w:p>
    <w:p>
      <w:pPr>
        <w:numPr>
          <w:ilvl w:val="0"/>
          <w:numId w:val="38"/>
        </w:numPr>
        <w:adjustRightInd w:val="0"/>
        <w:snapToGrid w:val="0"/>
        <w:spacing w:line="360" w:lineRule="auto"/>
        <w:rPr>
          <w:rFonts w:ascii="宋体" w:hAnsi="宋体"/>
          <w:b/>
          <w:szCs w:val="21"/>
        </w:rPr>
      </w:pPr>
      <w:r>
        <w:rPr>
          <w:b/>
        </w:rPr>
        <w:t>按</w:t>
      </w:r>
      <w:r>
        <w:rPr>
          <w:rFonts w:hint="eastAsia"/>
          <w:b/>
        </w:rPr>
        <w:t>此</w:t>
      </w:r>
      <w:r>
        <w:rPr>
          <w:b/>
        </w:rPr>
        <w:t>项目清单所列品牌型号</w:t>
      </w:r>
      <w:r>
        <w:rPr>
          <w:rFonts w:hint="eastAsia"/>
          <w:b/>
        </w:rPr>
        <w:t>等填写</w:t>
      </w:r>
      <w:r>
        <w:rPr>
          <w:b/>
        </w:rPr>
        <w:t>报价表。</w:t>
      </w:r>
      <w:r>
        <w:rPr>
          <w:rFonts w:hint="eastAsia"/>
          <w:b/>
        </w:rPr>
        <w:t>报价表</w:t>
      </w:r>
      <w:r>
        <w:rPr>
          <w:b/>
        </w:rPr>
        <w:t>格式附后，见</w:t>
      </w:r>
      <w:r>
        <w:rPr>
          <w:rFonts w:hint="eastAsia"/>
          <w:b/>
        </w:rPr>
        <w:t>“</w:t>
      </w:r>
      <w:r>
        <w:rPr>
          <w:b/>
        </w:rPr>
        <w:t>第</w:t>
      </w:r>
      <w:r>
        <w:rPr>
          <w:rFonts w:hint="eastAsia"/>
          <w:b/>
        </w:rPr>
        <w:t>六章</w:t>
      </w:r>
      <w:r>
        <w:rPr>
          <w:b/>
        </w:rPr>
        <w:t>投标文件格式</w:t>
      </w:r>
      <w:r>
        <w:rPr>
          <w:rFonts w:hint="eastAsia"/>
          <w:b/>
        </w:rPr>
        <w:t>”“</w:t>
      </w:r>
      <w:r>
        <w:rPr>
          <w:rFonts w:hint="eastAsia" w:ascii="宋体" w:hAnsi="宋体"/>
          <w:b/>
          <w:szCs w:val="21"/>
        </w:rPr>
        <w:t>五、投标报价表格式”。</w:t>
      </w:r>
    </w:p>
    <w:p>
      <w:pPr>
        <w:adjustRightInd w:val="0"/>
        <w:snapToGrid w:val="0"/>
        <w:spacing w:line="360" w:lineRule="auto"/>
        <w:rPr>
          <w:rFonts w:ascii="宋体" w:hAnsi="宋体"/>
          <w:b/>
          <w:szCs w:val="21"/>
        </w:rPr>
      </w:pPr>
      <w:r>
        <w:rPr>
          <w:b/>
        </w:rPr>
        <w:t>3.</w:t>
      </w:r>
      <w:r>
        <w:rPr>
          <w:rFonts w:hint="eastAsia"/>
          <w:b/>
          <w:shd w:val="clear" w:color="auto" w:fill="auto"/>
        </w:rPr>
        <w:t>此项目清单报价设置目的为考量投标人报价与市场价格的符合性，如供应商报价高于市场平均价格，招标人有权从非供应商处另行采购。</w:t>
      </w:r>
    </w:p>
    <w:p>
      <w:pPr>
        <w:adjustRightInd w:val="0"/>
        <w:snapToGrid w:val="0"/>
        <w:spacing w:line="360" w:lineRule="auto"/>
        <w:rPr>
          <w:rFonts w:ascii="宋体" w:hAnsi="宋体"/>
          <w:b/>
          <w:szCs w:val="21"/>
        </w:rPr>
      </w:pPr>
      <w:r>
        <w:rPr>
          <w:rFonts w:ascii="宋体" w:hAnsi="宋体"/>
          <w:b/>
          <w:szCs w:val="21"/>
        </w:rPr>
        <w:t>4.</w:t>
      </w:r>
      <w:r>
        <w:rPr>
          <w:rFonts w:hint="eastAsia" w:ascii="宋体" w:hAnsi="宋体"/>
          <w:b/>
          <w:szCs w:val="21"/>
        </w:rPr>
        <w:t>全年备件实际使用</w:t>
      </w:r>
      <w:r>
        <w:rPr>
          <w:rFonts w:ascii="宋体" w:hAnsi="宋体"/>
          <w:b/>
          <w:szCs w:val="21"/>
        </w:rPr>
        <w:t>数量以</w:t>
      </w:r>
      <w:r>
        <w:rPr>
          <w:rFonts w:hint="eastAsia" w:ascii="宋体" w:hAnsi="宋体"/>
          <w:b/>
          <w:szCs w:val="21"/>
        </w:rPr>
        <w:t>招标人</w:t>
      </w:r>
      <w:r>
        <w:rPr>
          <w:rFonts w:ascii="宋体" w:hAnsi="宋体"/>
          <w:b/>
          <w:szCs w:val="21"/>
        </w:rPr>
        <w:t>的采购单为准</w:t>
      </w:r>
      <w:r>
        <w:rPr>
          <w:rFonts w:hint="eastAsia" w:ascii="宋体" w:hAnsi="宋体"/>
          <w:b/>
          <w:szCs w:val="21"/>
        </w:rPr>
        <w:t>。</w:t>
      </w:r>
    </w:p>
    <w:p>
      <w:pPr>
        <w:adjustRightInd w:val="0"/>
        <w:snapToGrid w:val="0"/>
        <w:spacing w:line="360" w:lineRule="auto"/>
        <w:rPr>
          <w:rFonts w:ascii="宋体" w:hAnsi="宋体" w:cs="宋体"/>
          <w:sz w:val="20"/>
          <w:szCs w:val="20"/>
        </w:rPr>
      </w:pPr>
      <w:r>
        <w:rPr>
          <w:rFonts w:ascii="宋体" w:hAnsi="宋体"/>
          <w:b/>
          <w:szCs w:val="21"/>
        </w:rPr>
        <w:t>5.</w:t>
      </w:r>
      <w:r>
        <w:rPr>
          <w:rFonts w:hint="eastAsia" w:ascii="宋体" w:hAnsi="宋体"/>
          <w:b/>
          <w:szCs w:val="21"/>
        </w:rPr>
        <w:t>投标人需按承诺周期和服务送货,并保证所有备件均为原装正品。</w:t>
      </w:r>
    </w:p>
    <w:p>
      <w:pPr>
        <w:adjustRightInd w:val="0"/>
        <w:snapToGrid w:val="0"/>
        <w:spacing w:line="360" w:lineRule="auto"/>
        <w:rPr>
          <w:rFonts w:ascii="宋体" w:hAnsi="宋体"/>
          <w:b/>
          <w:sz w:val="24"/>
        </w:rPr>
      </w:pPr>
      <w:r>
        <w:rPr>
          <w:rFonts w:hint="eastAsia" w:ascii="宋体" w:hAnsi="宋体"/>
          <w:b/>
          <w:szCs w:val="21"/>
        </w:rPr>
        <w:t>四、</w:t>
      </w:r>
      <w:r>
        <w:rPr>
          <w:rFonts w:hint="eastAsia" w:ascii="宋体" w:hAnsi="宋体"/>
          <w:b/>
          <w:sz w:val="24"/>
        </w:rPr>
        <w:t>项目要求</w:t>
      </w:r>
    </w:p>
    <w:p>
      <w:pPr>
        <w:adjustRightInd w:val="0"/>
        <w:snapToGrid w:val="0"/>
        <w:spacing w:line="360" w:lineRule="auto"/>
        <w:rPr>
          <w:rFonts w:ascii="宋体" w:hAnsi="宋体"/>
          <w:szCs w:val="21"/>
        </w:rPr>
      </w:pPr>
      <w:r>
        <w:rPr>
          <w:rFonts w:hint="eastAsia" w:ascii="宋体" w:hAnsi="宋体"/>
          <w:szCs w:val="21"/>
        </w:rPr>
        <w:t>1、中标人所派工程师需具备痕量检测仪原生产厂家维修资质（须提供资质证书），熟悉痕量检测仪硬件，系统等相关知识，熟练更换故障硬件及时让业务上线。</w:t>
      </w:r>
    </w:p>
    <w:p>
      <w:pPr>
        <w:adjustRightInd w:val="0"/>
        <w:snapToGrid w:val="0"/>
        <w:spacing w:line="360" w:lineRule="auto"/>
        <w:rPr>
          <w:rFonts w:ascii="宋体" w:hAnsi="宋体"/>
          <w:szCs w:val="21"/>
        </w:rPr>
      </w:pPr>
      <w:r>
        <w:rPr>
          <w:rFonts w:hint="eastAsia" w:ascii="宋体" w:hAnsi="宋体"/>
          <w:szCs w:val="21"/>
        </w:rPr>
        <w:t>2、投标人在报价时须正确描述痕量检测仪配件、耗材名称。</w:t>
      </w:r>
    </w:p>
    <w:p>
      <w:pPr>
        <w:adjustRightInd w:val="0"/>
        <w:snapToGrid w:val="0"/>
        <w:spacing w:line="360" w:lineRule="auto"/>
        <w:ind w:left="315" w:hanging="315" w:hangingChars="150"/>
        <w:rPr>
          <w:rFonts w:ascii="宋体" w:hAnsi="宋体"/>
          <w:szCs w:val="21"/>
        </w:rPr>
      </w:pPr>
      <w:r>
        <w:rPr>
          <w:rFonts w:hint="eastAsia" w:ascii="宋体" w:hAnsi="宋体"/>
          <w:szCs w:val="21"/>
        </w:rPr>
        <w:t>3、备件需原厂备件，备件需经过原厂认证。</w:t>
      </w:r>
    </w:p>
    <w:p>
      <w:pPr>
        <w:adjustRightInd w:val="0"/>
        <w:snapToGrid w:val="0"/>
        <w:spacing w:line="400" w:lineRule="exact"/>
        <w:rPr>
          <w:rFonts w:ascii="宋体" w:hAnsi="宋体"/>
          <w:szCs w:val="21"/>
        </w:rPr>
      </w:pPr>
      <w:r>
        <w:rPr>
          <w:rFonts w:hint="eastAsia" w:hAnsi="宋体" w:cs="宋体"/>
          <w:b/>
          <w:sz w:val="22"/>
        </w:rPr>
        <w:t>★</w:t>
      </w:r>
      <w:r>
        <w:rPr>
          <w:rFonts w:hint="eastAsia" w:ascii="宋体" w:hAnsi="宋体"/>
          <w:szCs w:val="21"/>
        </w:rPr>
        <w:t>4、所有投标人必须具备痕量检测仪生产厂家授权，所提供配件、耗材必须为原厂，进口配件、耗材需提供海关报关单等备查。</w:t>
      </w:r>
    </w:p>
    <w:p>
      <w:pPr>
        <w:adjustRightInd w:val="0"/>
        <w:snapToGrid w:val="0"/>
        <w:spacing w:line="400" w:lineRule="exact"/>
        <w:rPr>
          <w:rFonts w:ascii="宋体" w:hAnsi="宋体"/>
          <w:szCs w:val="21"/>
        </w:rPr>
      </w:pPr>
      <w:r>
        <w:rPr>
          <w:rFonts w:hint="eastAsia" w:hAnsi="宋体" w:cs="宋体"/>
          <w:b/>
          <w:sz w:val="22"/>
        </w:rPr>
        <w:t>★</w:t>
      </w:r>
      <w:r>
        <w:rPr>
          <w:rFonts w:hint="eastAsia" w:ascii="宋体" w:hAnsi="宋体"/>
          <w:szCs w:val="21"/>
        </w:rPr>
        <w:t>5、有源设备投标人需提供投标设备豁免函（</w:t>
      </w:r>
      <w:r>
        <w:rPr>
          <w:rFonts w:hint="eastAsia" w:cs="宋体"/>
          <w:u w:val="single"/>
        </w:rPr>
        <w:t>标项一、标项二、标项四</w:t>
      </w:r>
      <w:r>
        <w:rPr>
          <w:rFonts w:hint="eastAsia" w:ascii="宋体" w:hAnsi="宋体"/>
          <w:szCs w:val="21"/>
        </w:rPr>
        <w:t>）。</w:t>
      </w:r>
    </w:p>
    <w:p>
      <w:pPr>
        <w:adjustRightInd w:val="0"/>
        <w:snapToGrid w:val="0"/>
        <w:spacing w:line="360" w:lineRule="auto"/>
        <w:rPr>
          <w:rFonts w:ascii="宋体" w:hAnsi="宋体"/>
          <w:szCs w:val="21"/>
        </w:rPr>
      </w:pPr>
    </w:p>
    <w:p>
      <w:pPr>
        <w:adjustRightInd w:val="0"/>
        <w:snapToGrid w:val="0"/>
        <w:spacing w:line="360" w:lineRule="auto"/>
        <w:rPr>
          <w:rFonts w:ascii="宋体" w:hAnsi="宋体"/>
          <w:b/>
          <w:szCs w:val="21"/>
        </w:rPr>
      </w:pPr>
      <w:r>
        <w:rPr>
          <w:rFonts w:hint="eastAsia"/>
          <w:b/>
          <w:szCs w:val="21"/>
        </w:rPr>
        <w:t>五、</w:t>
      </w:r>
      <w:r>
        <w:rPr>
          <w:rFonts w:hint="eastAsia" w:ascii="宋体" w:hAnsi="宋体"/>
          <w:b/>
          <w:szCs w:val="21"/>
        </w:rPr>
        <w:t>服务要求</w:t>
      </w:r>
    </w:p>
    <w:p>
      <w:pPr>
        <w:spacing w:line="360" w:lineRule="auto"/>
        <w:rPr>
          <w:szCs w:val="21"/>
        </w:rPr>
      </w:pPr>
      <w:r>
        <w:rPr>
          <w:szCs w:val="21"/>
        </w:rPr>
        <w:t>1</w:t>
      </w:r>
      <w:r>
        <w:rPr>
          <w:rFonts w:hint="eastAsia"/>
          <w:szCs w:val="21"/>
        </w:rPr>
        <w:t>、中标人根据招标人的要求提供痕量检测仪全面硬软件维护</w:t>
      </w:r>
      <w:r>
        <w:rPr>
          <w:szCs w:val="21"/>
        </w:rPr>
        <w:t>,</w:t>
      </w:r>
      <w:r>
        <w:rPr>
          <w:rFonts w:hint="eastAsia"/>
          <w:szCs w:val="21"/>
        </w:rPr>
        <w:t>并提交详细维护报告。</w:t>
      </w:r>
    </w:p>
    <w:p>
      <w:pPr>
        <w:spacing w:line="360" w:lineRule="auto"/>
        <w:rPr>
          <w:szCs w:val="21"/>
        </w:rPr>
      </w:pPr>
      <w:r>
        <w:rPr>
          <w:szCs w:val="21"/>
        </w:rPr>
        <w:t>2</w:t>
      </w:r>
      <w:r>
        <w:rPr>
          <w:rFonts w:hint="eastAsia"/>
          <w:szCs w:val="21"/>
        </w:rPr>
        <w:t>、</w:t>
      </w:r>
      <w:r>
        <w:rPr>
          <w:rFonts w:hint="eastAsia"/>
          <w:szCs w:val="21"/>
          <w:highlight w:val="none"/>
        </w:rPr>
        <w:t>中标人根据杭州萧山国际机场安检护卫部的要求，及时安排到场服务时间（需提供</w:t>
      </w:r>
      <w:r>
        <w:rPr>
          <w:szCs w:val="21"/>
          <w:highlight w:val="none"/>
        </w:rPr>
        <w:t>7*24</w:t>
      </w:r>
      <w:r>
        <w:rPr>
          <w:rFonts w:hint="eastAsia"/>
          <w:szCs w:val="21"/>
          <w:highlight w:val="none"/>
        </w:rPr>
        <w:t>工程师上门服务。所有痕量检测仪需在现场提供维修服务，若无法在现场修复的设备需书面报告甲方并由乙方工程师自行寄回原厂修复。甲方不承担设备因邮寄途中丢失、损坏的后果。因邮寄途中造成的设备丢失、损坏，乙方因赔偿甲方损失）。</w:t>
      </w:r>
    </w:p>
    <w:p>
      <w:pPr>
        <w:spacing w:line="360" w:lineRule="auto"/>
        <w:ind w:left="420" w:hanging="420" w:hangingChars="200"/>
        <w:rPr>
          <w:szCs w:val="21"/>
        </w:rPr>
      </w:pPr>
      <w:r>
        <w:rPr>
          <w:rFonts w:hint="eastAsia"/>
          <w:szCs w:val="21"/>
        </w:rPr>
        <w:t>3、中标人需提供给用户相关痕量检测仪简单故障判断方法及处理方法。</w:t>
      </w:r>
    </w:p>
    <w:p>
      <w:pPr>
        <w:spacing w:line="360" w:lineRule="auto"/>
        <w:ind w:left="420" w:hanging="420" w:hangingChars="200"/>
        <w:rPr>
          <w:szCs w:val="21"/>
        </w:rPr>
      </w:pPr>
      <w:r>
        <w:rPr>
          <w:rFonts w:hint="eastAsia"/>
          <w:szCs w:val="21"/>
        </w:rPr>
        <w:t>4、邮寄设备所产生的费用均由乙方承担。</w:t>
      </w:r>
    </w:p>
    <w:p>
      <w:pPr>
        <w:spacing w:line="360" w:lineRule="auto"/>
        <w:rPr>
          <w:b/>
          <w:szCs w:val="21"/>
        </w:rPr>
      </w:pPr>
      <w:r>
        <w:rPr>
          <w:rFonts w:hint="eastAsia"/>
          <w:b/>
          <w:szCs w:val="21"/>
        </w:rPr>
        <w:t>六、注意事项</w:t>
      </w:r>
    </w:p>
    <w:p>
      <w:pPr>
        <w:numPr>
          <w:ilvl w:val="0"/>
          <w:numId w:val="39"/>
        </w:numPr>
        <w:tabs>
          <w:tab w:val="left" w:pos="709"/>
        </w:tabs>
        <w:adjustRightInd w:val="0"/>
        <w:snapToGrid w:val="0"/>
        <w:spacing w:line="360" w:lineRule="auto"/>
        <w:ind w:left="0" w:firstLine="420" w:firstLineChars="200"/>
        <w:rPr>
          <w:rFonts w:ascii="宋体" w:hAnsi="宋体"/>
          <w:szCs w:val="21"/>
        </w:rPr>
      </w:pPr>
      <w:r>
        <w:rPr>
          <w:rFonts w:hint="eastAsia" w:ascii="宋体" w:hAnsi="宋体"/>
          <w:szCs w:val="21"/>
        </w:rPr>
        <w:t>中标人不得将项目非法分包或转包给任何单位和个人。否则，招标人有权即刻终止合同，并要求中标人赔偿相应损失。</w:t>
      </w:r>
    </w:p>
    <w:p>
      <w:pPr>
        <w:sectPr>
          <w:pgSz w:w="12240" w:h="15840"/>
          <w:pgMar w:top="1400" w:right="1680" w:bottom="1120" w:left="1580" w:header="0" w:footer="921" w:gutter="0"/>
          <w:cols w:space="720" w:num="1"/>
        </w:sectPr>
      </w:pPr>
      <w:r>
        <w:rPr>
          <w:rFonts w:hint="eastAsia" w:ascii="宋体" w:hAnsi="宋体"/>
          <w:szCs w:val="21"/>
        </w:rPr>
        <w:t>投标人若认为招标文件的技术要求或其他要求有倾向性或不公正性，可在招标答疑阶段提出，以维护招标行为的公平、公正。</w:t>
      </w:r>
    </w:p>
    <w:p>
      <w:pPr>
        <w:pStyle w:val="5"/>
        <w:spacing w:before="160" w:after="160" w:line="360" w:lineRule="exact"/>
        <w:ind w:firstLine="281" w:firstLineChars="100"/>
        <w:jc w:val="left"/>
        <w:sectPr>
          <w:pgSz w:w="12240" w:h="15840"/>
          <w:pgMar w:top="1500" w:right="1680" w:bottom="1120" w:left="1700" w:header="0" w:footer="921" w:gutter="0"/>
          <w:cols w:space="720" w:num="1"/>
        </w:sectPr>
      </w:pPr>
    </w:p>
    <w:p>
      <w:pPr>
        <w:pStyle w:val="2"/>
        <w:spacing w:line="564" w:lineRule="exact"/>
        <w:ind w:right="57"/>
        <w:jc w:val="center"/>
        <w:rPr>
          <w:b w:val="0"/>
          <w:bCs w:val="0"/>
        </w:rPr>
      </w:pPr>
      <w:bookmarkStart w:id="83" w:name="_Toc19698503"/>
      <w:r>
        <w:rPr>
          <w:rFonts w:hint="eastAsia"/>
          <w:b w:val="0"/>
          <w:bCs w:val="0"/>
        </w:rPr>
        <w:t>第六章</w:t>
      </w:r>
      <w:r>
        <w:rPr>
          <w:b w:val="0"/>
          <w:bCs w:val="0"/>
        </w:rPr>
        <w:t xml:space="preserve">  </w:t>
      </w:r>
      <w:r>
        <w:rPr>
          <w:rFonts w:hint="eastAsia"/>
          <w:b w:val="0"/>
          <w:bCs w:val="0"/>
        </w:rPr>
        <w:t>投标文件格式</w:t>
      </w:r>
      <w:bookmarkEnd w:id="83"/>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 xml:space="preserve">、授权委托书(适用于有委托代理人的情况,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line="360" w:lineRule="auto"/>
        <w:ind w:right="43"/>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4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r>
        <w:rPr>
          <w:rFonts w:hint="eastAsia" w:cs="Calibri"/>
          <w:sz w:val="24"/>
        </w:rPr>
        <w:t>标段</w:t>
      </w:r>
      <w:r>
        <w:rPr>
          <w:rFonts w:hint="eastAsia" w:cs="Calibri"/>
          <w:sz w:val="24"/>
          <w:u w:val="single"/>
        </w:rPr>
        <w:t>*</w:t>
      </w:r>
    </w:p>
    <w:p>
      <w:pPr>
        <w:rPr>
          <w:rFonts w:cs="Calibri"/>
          <w:sz w:val="24"/>
        </w:rPr>
      </w:pPr>
      <w:bookmarkStart w:id="84" w:name="_Toc133214310"/>
      <w:bookmarkStart w:id="85" w:name="_Toc137373399"/>
      <w:bookmarkStart w:id="86" w:name="_Toc133470544"/>
      <w:bookmarkStart w:id="87" w:name="_Toc133214103"/>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84"/>
    <w:bookmarkEnd w:id="85"/>
    <w:bookmarkEnd w:id="86"/>
    <w:bookmarkEnd w:id="87"/>
    <w:p>
      <w:pPr>
        <w:pStyle w:val="57"/>
        <w:spacing w:line="360" w:lineRule="auto"/>
        <w:jc w:val="center"/>
        <w:rPr>
          <w:rFonts w:ascii="宋体" w:hAnsi="宋体" w:cs="宋体"/>
          <w:b/>
          <w:sz w:val="32"/>
          <w:szCs w:val="32"/>
        </w:rPr>
      </w:pPr>
      <w:r>
        <w:rPr>
          <w:rFonts w:hint="eastAsia" w:ascii="宋体" w:hAnsi="宋体" w:cs="宋体"/>
          <w:sz w:val="22"/>
        </w:rPr>
        <w:t xml:space="preserve"> </w:t>
      </w:r>
      <w:r>
        <w:rPr>
          <w:rFonts w:hint="eastAsia"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87"/>
        <w:gridCol w:w="1105"/>
        <w:gridCol w:w="1008"/>
        <w:gridCol w:w="736"/>
        <w:gridCol w:w="622"/>
        <w:gridCol w:w="563"/>
        <w:gridCol w:w="1496"/>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3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2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4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4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6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4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6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4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6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4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6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4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6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4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6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4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6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4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6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4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6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4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6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57"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57"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57"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42"/>
        </w:numPr>
        <w:tabs>
          <w:tab w:val="left" w:pos="284"/>
        </w:tabs>
        <w:spacing w:line="300" w:lineRule="auto"/>
        <w:rPr>
          <w:rFonts w:ascii="宋体" w:hAnsi="宋体" w:cs="宋体"/>
          <w:sz w:val="22"/>
        </w:rPr>
      </w:pPr>
      <w:r>
        <w:rPr>
          <w:rFonts w:hint="eastAsia" w:ascii="宋体" w:hAnsi="宋体" w:cs="宋体"/>
          <w:sz w:val="22"/>
        </w:rPr>
        <w:t>投标人按项目清单所列品牌型号、</w:t>
      </w:r>
      <w:r>
        <w:rPr>
          <w:rFonts w:ascii="宋体" w:hAnsi="宋体" w:cs="宋体"/>
          <w:sz w:val="22"/>
        </w:rPr>
        <w:t>预估量</w:t>
      </w:r>
      <w:r>
        <w:rPr>
          <w:rFonts w:hint="eastAsia" w:ascii="宋体" w:hAnsi="宋体" w:cs="宋体"/>
          <w:sz w:val="22"/>
        </w:rPr>
        <w:t>等填写报价表。</w:t>
      </w:r>
    </w:p>
    <w:p>
      <w:pPr>
        <w:widowControl/>
        <w:numPr>
          <w:ilvl w:val="0"/>
          <w:numId w:val="42"/>
        </w:numPr>
        <w:tabs>
          <w:tab w:val="left" w:pos="284"/>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 xml:space="preserve">投标人(单位公章)：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pStyle w:val="57"/>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服务说明；</w:t>
      </w:r>
    </w:p>
    <w:p>
      <w:pPr>
        <w:numPr>
          <w:ilvl w:val="0"/>
          <w:numId w:val="43"/>
        </w:numPr>
        <w:spacing w:line="360" w:lineRule="auto"/>
        <w:rPr>
          <w:rFonts w:ascii="宋体" w:hAnsi="宋体" w:cs="宋体"/>
          <w:sz w:val="22"/>
        </w:rPr>
      </w:pPr>
      <w:r>
        <w:rPr>
          <w:rFonts w:hint="eastAsia" w:ascii="宋体" w:hAnsi="宋体" w:cs="宋体"/>
          <w:sz w:val="22"/>
        </w:rPr>
        <w:t>主要技术指标的详细描述；</w:t>
      </w:r>
    </w:p>
    <w:p>
      <w:pPr>
        <w:numPr>
          <w:ilvl w:val="0"/>
          <w:numId w:val="43"/>
        </w:numPr>
        <w:spacing w:line="360" w:lineRule="auto"/>
        <w:rPr>
          <w:rFonts w:ascii="宋体" w:hAnsi="宋体" w:cs="宋体"/>
          <w:sz w:val="22"/>
        </w:rPr>
      </w:pPr>
      <w:r>
        <w:rPr>
          <w:rFonts w:hint="eastAsia" w:ascii="宋体" w:hAnsi="宋体" w:cs="宋体"/>
          <w:sz w:val="22"/>
        </w:rPr>
        <w:t>相关检测、检验、测试报告；</w:t>
      </w:r>
    </w:p>
    <w:p>
      <w:pPr>
        <w:numPr>
          <w:ilvl w:val="0"/>
          <w:numId w:val="43"/>
        </w:numPr>
        <w:spacing w:line="360" w:lineRule="auto"/>
        <w:rPr>
          <w:rFonts w:ascii="宋体" w:hAnsi="宋体" w:cs="宋体"/>
          <w:sz w:val="22"/>
        </w:rPr>
      </w:pPr>
      <w:r>
        <w:rPr>
          <w:rFonts w:hint="eastAsia" w:ascii="宋体" w:hAnsi="宋体" w:cs="宋体"/>
          <w:sz w:val="22"/>
        </w:rPr>
        <w:t>主要服务流程；</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34</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- 85 -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ascii="Times New Roman" w:hAnsi="Times New Roman" w:eastAsia="黑体"/>
      </w:rPr>
    </w:lvl>
    <w:lvl w:ilvl="1" w:tentative="0">
      <w:start w:val="1"/>
      <w:numFmt w:val="decimal"/>
      <w:isLgl/>
      <w:lvlText w:val="%1.%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080"/>
        </w:tabs>
        <w:ind w:left="1080" w:hanging="108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440"/>
        </w:tabs>
        <w:ind w:left="1440" w:hanging="1440"/>
      </w:p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3246C1"/>
    <w:multiLevelType w:val="multilevel"/>
    <w:tmpl w:val="373246C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80725F2"/>
    <w:multiLevelType w:val="singleLevel"/>
    <w:tmpl w:val="580725F2"/>
    <w:lvl w:ilvl="0" w:tentative="0">
      <w:start w:val="2"/>
      <w:numFmt w:val="chineseCounting"/>
      <w:suff w:val="nothing"/>
      <w:lvlText w:val="%1、"/>
      <w:lvlJc w:val="left"/>
      <w:pPr>
        <w:ind w:left="0" w:firstLine="0"/>
      </w:pPr>
    </w:lvl>
  </w:abstractNum>
  <w:abstractNum w:abstractNumId="23">
    <w:nsid w:val="59735462"/>
    <w:multiLevelType w:val="multilevel"/>
    <w:tmpl w:val="59735462"/>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9C4BD6E"/>
    <w:multiLevelType w:val="singleLevel"/>
    <w:tmpl w:val="59C4BD6E"/>
    <w:lvl w:ilvl="0" w:tentative="0">
      <w:start w:val="1"/>
      <w:numFmt w:val="decimal"/>
      <w:suff w:val="nothing"/>
      <w:lvlText w:val="（%1）"/>
      <w:lvlJc w:val="left"/>
    </w:lvl>
  </w:abstractNum>
  <w:abstractNum w:abstractNumId="25">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5E7CAE0A"/>
    <w:multiLevelType w:val="singleLevel"/>
    <w:tmpl w:val="5E7CAE0A"/>
    <w:lvl w:ilvl="0" w:tentative="0">
      <w:start w:val="1"/>
      <w:numFmt w:val="decimal"/>
      <w:pStyle w:val="17"/>
      <w:lvlText w:val="%1."/>
      <w:lvlJc w:val="left"/>
      <w:pPr>
        <w:tabs>
          <w:tab w:val="left" w:pos="780"/>
        </w:tabs>
        <w:ind w:left="780" w:hanging="360"/>
      </w:pPr>
    </w:lvl>
  </w:abstractNum>
  <w:abstractNum w:abstractNumId="27">
    <w:nsid w:val="5E7CAE20"/>
    <w:multiLevelType w:val="singleLevel"/>
    <w:tmpl w:val="5E7CAE20"/>
    <w:lvl w:ilvl="0" w:tentative="0">
      <w:start w:val="1"/>
      <w:numFmt w:val="decimal"/>
      <w:pStyle w:val="22"/>
      <w:lvlText w:val="%1."/>
      <w:lvlJc w:val="left"/>
      <w:pPr>
        <w:tabs>
          <w:tab w:val="left" w:pos="360"/>
        </w:tabs>
        <w:ind w:left="360" w:hanging="360"/>
      </w:pPr>
    </w:lvl>
  </w:abstractNum>
  <w:abstractNum w:abstractNumId="28">
    <w:nsid w:val="5E7CAE2B"/>
    <w:multiLevelType w:val="singleLevel"/>
    <w:tmpl w:val="5E7CAE2B"/>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9">
    <w:nsid w:val="5E7CAE36"/>
    <w:multiLevelType w:val="singleLevel"/>
    <w:tmpl w:val="5E7CAE36"/>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0">
    <w:nsid w:val="5E7CAE4C"/>
    <w:multiLevelType w:val="singleLevel"/>
    <w:tmpl w:val="5E7CAE4C"/>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1">
    <w:nsid w:val="5E7CAE57"/>
    <w:multiLevelType w:val="singleLevel"/>
    <w:tmpl w:val="5E7CAE57"/>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2">
    <w:nsid w:val="5E7CAE62"/>
    <w:multiLevelType w:val="singleLevel"/>
    <w:tmpl w:val="5E7CAE62"/>
    <w:lvl w:ilvl="0" w:tentative="0">
      <w:start w:val="1"/>
      <w:numFmt w:val="decimal"/>
      <w:pStyle w:val="43"/>
      <w:lvlText w:val="%1."/>
      <w:lvlJc w:val="left"/>
      <w:pPr>
        <w:tabs>
          <w:tab w:val="left" w:pos="1620"/>
        </w:tabs>
        <w:ind w:left="1620" w:hanging="360"/>
      </w:pPr>
    </w:lvl>
  </w:abstractNum>
  <w:abstractNum w:abstractNumId="33">
    <w:nsid w:val="607B0DFB"/>
    <w:multiLevelType w:val="multilevel"/>
    <w:tmpl w:val="607B0DFB"/>
    <w:lvl w:ilvl="0" w:tentative="0">
      <w:start w:val="1"/>
      <w:numFmt w:val="chineseCountingThousand"/>
      <w:suff w:val="nothing"/>
      <w:lvlText w:val="%1、"/>
      <w:lvlJc w:val="left"/>
      <w:pPr>
        <w:ind w:left="1413" w:hanging="420"/>
      </w:pPr>
    </w:lvl>
    <w:lvl w:ilvl="1" w:tentative="0">
      <w:start w:val="1"/>
      <w:numFmt w:val="lowerLetter"/>
      <w:lvlText w:val="%2)"/>
      <w:lvlJc w:val="left"/>
      <w:pPr>
        <w:ind w:left="545" w:hanging="420"/>
      </w:pPr>
    </w:lvl>
    <w:lvl w:ilvl="2" w:tentative="0">
      <w:start w:val="1"/>
      <w:numFmt w:val="lowerRoman"/>
      <w:lvlText w:val="%3."/>
      <w:lvlJc w:val="right"/>
      <w:pPr>
        <w:ind w:left="965" w:hanging="420"/>
      </w:pPr>
    </w:lvl>
    <w:lvl w:ilvl="3" w:tentative="0">
      <w:start w:val="1"/>
      <w:numFmt w:val="decimal"/>
      <w:lvlText w:val="%4."/>
      <w:lvlJc w:val="left"/>
      <w:pPr>
        <w:ind w:left="1385" w:hanging="420"/>
      </w:pPr>
    </w:lvl>
    <w:lvl w:ilvl="4" w:tentative="0">
      <w:start w:val="1"/>
      <w:numFmt w:val="lowerLetter"/>
      <w:lvlText w:val="%5)"/>
      <w:lvlJc w:val="left"/>
      <w:pPr>
        <w:ind w:left="1805" w:hanging="420"/>
      </w:pPr>
    </w:lvl>
    <w:lvl w:ilvl="5" w:tentative="0">
      <w:start w:val="1"/>
      <w:numFmt w:val="lowerRoman"/>
      <w:lvlText w:val="%6."/>
      <w:lvlJc w:val="right"/>
      <w:pPr>
        <w:ind w:left="2225" w:hanging="420"/>
      </w:pPr>
    </w:lvl>
    <w:lvl w:ilvl="6" w:tentative="0">
      <w:start w:val="1"/>
      <w:numFmt w:val="decimal"/>
      <w:lvlText w:val="%7."/>
      <w:lvlJc w:val="left"/>
      <w:pPr>
        <w:ind w:left="2645" w:hanging="420"/>
      </w:pPr>
    </w:lvl>
    <w:lvl w:ilvl="7" w:tentative="0">
      <w:start w:val="1"/>
      <w:numFmt w:val="lowerLetter"/>
      <w:lvlText w:val="%8)"/>
      <w:lvlJc w:val="left"/>
      <w:pPr>
        <w:ind w:left="3065" w:hanging="420"/>
      </w:pPr>
    </w:lvl>
    <w:lvl w:ilvl="8" w:tentative="0">
      <w:start w:val="1"/>
      <w:numFmt w:val="lowerRoman"/>
      <w:lvlText w:val="%9."/>
      <w:lvlJc w:val="right"/>
      <w:pPr>
        <w:ind w:left="3485" w:hanging="420"/>
      </w:p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6"/>
  </w:num>
  <w:num w:numId="2">
    <w:abstractNumId w:val="27"/>
  </w:num>
  <w:num w:numId="3">
    <w:abstractNumId w:val="28"/>
  </w:num>
  <w:num w:numId="4">
    <w:abstractNumId w:val="29"/>
  </w:num>
  <w:num w:numId="5">
    <w:abstractNumId w:val="30"/>
  </w:num>
  <w:num w:numId="6">
    <w:abstractNumId w:val="31"/>
  </w:num>
  <w:num w:numId="7">
    <w:abstractNumId w:val="32"/>
  </w:num>
  <w:num w:numId="8">
    <w:abstractNumId w:val="8"/>
  </w:num>
  <w:num w:numId="9">
    <w:abstractNumId w:val="38"/>
  </w:num>
  <w:num w:numId="10">
    <w:abstractNumId w:val="39"/>
  </w:num>
  <w:num w:numId="11">
    <w:abstractNumId w:val="1"/>
    <w:lvlOverride w:ilvl="0">
      <w:startOverride w:val="1"/>
    </w:lvlOverride>
  </w:num>
  <w:num w:numId="12">
    <w:abstractNumId w:val="0"/>
    <w:lvlOverride w:ilvl="0">
      <w:startOverride w:val="1"/>
    </w:lvlOverride>
  </w:num>
  <w:num w:numId="13">
    <w:abstractNumId w:val="13"/>
  </w:num>
  <w:num w:numId="14">
    <w:abstractNumId w:val="14"/>
  </w:num>
  <w:num w:numId="15">
    <w:abstractNumId w:val="20"/>
  </w:num>
  <w:num w:numId="16">
    <w:abstractNumId w:val="36"/>
  </w:num>
  <w:num w:numId="17">
    <w:abstractNumId w:val="37"/>
  </w:num>
  <w:num w:numId="18">
    <w:abstractNumId w:val="10"/>
  </w:num>
  <w:num w:numId="19">
    <w:abstractNumId w:val="9"/>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3"/>
  </w:num>
  <w:num w:numId="25">
    <w:abstractNumId w:val="7"/>
  </w:num>
  <w:num w:numId="26">
    <w:abstractNumId w:val="18"/>
  </w:num>
  <w:num w:numId="27">
    <w:abstractNumId w:val="11"/>
  </w:num>
  <w:num w:numId="28">
    <w:abstractNumId w:val="25"/>
  </w:num>
  <w:num w:numId="29">
    <w:abstractNumId w:val="35"/>
  </w:num>
  <w:num w:numId="30">
    <w:abstractNumId w:val="21"/>
  </w:num>
  <w:num w:numId="31">
    <w:abstractNumId w:val="42"/>
  </w:num>
  <w:num w:numId="32">
    <w:abstractNumId w:val="16"/>
  </w:num>
  <w:num w:numId="33">
    <w:abstractNumId w:val="17"/>
  </w:num>
  <w:num w:numId="34">
    <w:abstractNumId w:val="34"/>
  </w:num>
  <w:num w:numId="35">
    <w:abstractNumId w:val="24"/>
  </w:num>
  <w:num w:numId="36">
    <w:abstractNumId w:val="33"/>
  </w:num>
  <w:num w:numId="37">
    <w:abstractNumId w:val="22"/>
    <w:lvlOverride w:ilvl="0">
      <w:startOverride w:val="2"/>
    </w:lvlOverride>
  </w:num>
  <w:num w:numId="38">
    <w:abstractNumId w:val="23"/>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41"/>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6410A"/>
    <w:rsid w:val="2E270B40"/>
    <w:rsid w:val="2F7578E9"/>
    <w:rsid w:val="32760CD2"/>
    <w:rsid w:val="50BE1D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99"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9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iPriority="0" w:semiHidden="0" w:name="caption"/>
    <w:lsdException w:qFormat="1" w:uiPriority="99"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qFormat="1" w:uiPriority="0" w:semiHidden="0" w:name="line number"/>
    <w:lsdException w:qFormat="1" w:uiPriority="0"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qFormat="1" w:uiPriority="0" w:semiHidden="0" w:name="macro"/>
    <w:lsdException w:qFormat="1" w:uiPriority="0" w:semiHidden="0" w:name="toa heading"/>
    <w:lsdException w:qFormat="1" w:unhideWhenUsed="0" w:uiPriority="99" w:semiHidden="0" w:name="List"/>
    <w:lsdException w:qFormat="1" w:unhideWhenUsed="0"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uiPriority="99" w:name="List Bullet 4"/>
    <w:lsdException w:qFormat="1" w:uiPriority="0" w:semiHidden="0" w:name="List Bullet 5"/>
    <w:lsdException w:qFormat="1" w:uiPriority="0" w:semiHidden="0" w:name="List Number 2"/>
    <w:lsdException w:uiPriority="99" w:name="List Number 3"/>
    <w:lsdException w:qFormat="1" w:uiPriority="0" w:semiHidden="0" w:name="List Number 4"/>
    <w:lsdException w:uiPriority="99" w:name="List Number 5"/>
    <w:lsdException w:qFormat="1" w:unhideWhenUsed="0" w:uiPriority="99" w:semiHidden="0" w:name="Title"/>
    <w:lsdException w:uiPriority="99" w:name="Closing"/>
    <w:lsdException w:qFormat="1" w:uiPriority="0" w:semiHidden="0" w:name="Signature"/>
    <w:lsdException w:qFormat="1" w:uiPriority="1" w:semiHidden="0" w:name="Default Paragraph Font"/>
    <w:lsdException w:qFormat="1" w:uiPriority="99" w:semiHidden="0" w:name="Body Text"/>
    <w:lsdException w:qFormat="1" w:uiPriority="99" w:semiHidden="0" w:name="Body Text Indent"/>
    <w:lsdException w:qFormat="1"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iPriority="0" w:semiHidden="0" w:name="Message Header"/>
    <w:lsdException w:qFormat="1" w:unhideWhenUsed="0" w:uiPriority="0" w:semiHidden="0" w:name="Subtitle"/>
    <w:lsdException w:qFormat="1" w:uiPriority="0"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0" w:semiHidden="0" w:name="Note Heading"/>
    <w:lsdException w:qFormat="1" w:uiPriority="99" w:semiHidden="0" w:name="Body Text 2"/>
    <w:lsdException w:qFormat="1" w:uiPriority="0" w:semiHidden="0" w:name="Body Text 3"/>
    <w:lsdException w:qFormat="1"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link w:val="99"/>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unhideWhenUsed/>
    <w:qFormat/>
    <w:uiPriority w:val="99"/>
    <w:rPr>
      <w:b/>
      <w:bCs/>
    </w:rPr>
  </w:style>
  <w:style w:type="paragraph" w:styleId="13">
    <w:name w:val="annotation text"/>
    <w:basedOn w:val="1"/>
    <w:link w:val="151"/>
    <w:unhideWhenUsed/>
    <w:qFormat/>
    <w:uiPriority w:val="99"/>
    <w:pPr>
      <w:jc w:val="left"/>
    </w:pPr>
    <w:rPr>
      <w:szCs w:val="24"/>
    </w:rPr>
  </w:style>
  <w:style w:type="paragraph" w:styleId="14">
    <w:name w:val="toc 7"/>
    <w:basedOn w:val="1"/>
    <w:next w:val="1"/>
    <w:unhideWhenUsed/>
    <w:qFormat/>
    <w:uiPriority w:val="99"/>
    <w:pPr>
      <w:ind w:left="1260"/>
      <w:jc w:val="left"/>
    </w:pPr>
    <w:rPr>
      <w:sz w:val="18"/>
      <w:szCs w:val="18"/>
    </w:rPr>
  </w:style>
  <w:style w:type="paragraph" w:styleId="15">
    <w:name w:val="Body Text First Indent"/>
    <w:basedOn w:val="16"/>
    <w:link w:val="155"/>
    <w:unhideWhenUsed/>
    <w:qFormat/>
    <w:uiPriority w:val="99"/>
    <w:pPr>
      <w:ind w:firstLine="420" w:firstLineChars="100"/>
    </w:pPr>
  </w:style>
  <w:style w:type="paragraph" w:styleId="16">
    <w:name w:val="Body Text"/>
    <w:basedOn w:val="1"/>
    <w:link w:val="130"/>
    <w:unhideWhenUsed/>
    <w:qFormat/>
    <w:uiPriority w:val="99"/>
    <w:pPr>
      <w:spacing w:after="120"/>
    </w:pPr>
    <w:rPr>
      <w:szCs w:val="24"/>
    </w:rPr>
  </w:style>
  <w:style w:type="paragraph" w:styleId="17">
    <w:name w:val="List Number 2"/>
    <w:basedOn w:val="1"/>
    <w:unhideWhenUsed/>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unhideWhenUsed/>
    <w:qFormat/>
    <w:uiPriority w:val="0"/>
    <w:pPr>
      <w:jc w:val="center"/>
    </w:pPr>
    <w:rPr>
      <w:rFonts w:ascii="Times New Roman" w:hAnsi="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unhideWhenUsed/>
    <w:qFormat/>
    <w:uiPriority w:val="0"/>
    <w:pPr>
      <w:numPr>
        <w:ilvl w:val="0"/>
        <w:numId w:val="2"/>
      </w:numPr>
    </w:pPr>
  </w:style>
  <w:style w:type="paragraph" w:styleId="23">
    <w:name w:val="Normal Indent"/>
    <w:basedOn w:val="1"/>
    <w:link w:val="758"/>
    <w:unhideWhenUsed/>
    <w:qFormat/>
    <w:uiPriority w:val="0"/>
    <w:pPr>
      <w:ind w:firstLine="420" w:firstLineChars="200"/>
    </w:pPr>
  </w:style>
  <w:style w:type="paragraph" w:styleId="24">
    <w:name w:val="caption"/>
    <w:basedOn w:val="1"/>
    <w:next w:val="1"/>
    <w:link w:val="1192"/>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unhideWhenUsed/>
    <w:qFormat/>
    <w:uiPriority w:val="99"/>
    <w:pPr>
      <w:shd w:val="clear" w:color="auto" w:fill="000080"/>
    </w:pPr>
    <w:rPr>
      <w:szCs w:val="24"/>
    </w:rPr>
  </w:style>
  <w:style w:type="paragraph" w:styleId="28">
    <w:name w:val="toa heading"/>
    <w:basedOn w:val="1"/>
    <w:next w:val="1"/>
    <w:unhideWhenUsed/>
    <w:qFormat/>
    <w:uiPriority w:val="0"/>
    <w:pPr>
      <w:spacing w:before="120"/>
    </w:pPr>
    <w:rPr>
      <w:rFonts w:ascii="Arial" w:hAnsi="Arial"/>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unhideWhenUsed/>
    <w:qFormat/>
    <w:uiPriority w:val="0"/>
    <w:pPr>
      <w:adjustRightInd w:val="0"/>
    </w:pPr>
    <w:rPr>
      <w:rFonts w:ascii="Times New Roman" w:hAnsi="Times New Roman"/>
      <w:szCs w:val="20"/>
    </w:rPr>
  </w:style>
  <w:style w:type="paragraph" w:styleId="31">
    <w:name w:val="Body Text 3"/>
    <w:basedOn w:val="1"/>
    <w:link w:val="172"/>
    <w:unhideWhenUsed/>
    <w:qFormat/>
    <w:uiPriority w:val="0"/>
    <w:rPr>
      <w:rFonts w:ascii="宋体"/>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194"/>
    <w:unhideWhenUsed/>
    <w:qFormat/>
    <w:uiPriority w:val="99"/>
    <w:pPr>
      <w:spacing w:after="120"/>
      <w:ind w:left="420" w:leftChars="200"/>
    </w:pPr>
    <w:rPr>
      <w:szCs w:val="24"/>
    </w:rPr>
  </w:style>
  <w:style w:type="paragraph" w:styleId="34">
    <w:name w:val="List 2"/>
    <w:basedOn w:val="1"/>
    <w:unhideWhenUsed/>
    <w:qFormat/>
    <w:uiPriority w:val="0"/>
    <w:pPr>
      <w:ind w:left="100" w:leftChars="200" w:hanging="200" w:hangingChars="200"/>
    </w:pPr>
    <w:rPr>
      <w:rFonts w:ascii="Times New Roman" w:hAnsi="Times New Roman"/>
      <w:szCs w:val="20"/>
    </w:rPr>
  </w:style>
  <w:style w:type="paragraph" w:styleId="35">
    <w:name w:val="List Continue"/>
    <w:basedOn w:val="1"/>
    <w:unhideWhenUsed/>
    <w:qFormat/>
    <w:uiPriority w:val="0"/>
    <w:pPr>
      <w:spacing w:after="120"/>
      <w:ind w:left="420" w:leftChars="200"/>
    </w:pPr>
    <w:rPr>
      <w:rFonts w:ascii="Times New Roman" w:hAnsi="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nhideWhenUsed/>
    <w:qFormat/>
    <w:uiPriority w:val="39"/>
    <w:pPr>
      <w:ind w:left="840"/>
      <w:jc w:val="left"/>
    </w:pPr>
    <w:rPr>
      <w:sz w:val="18"/>
      <w:szCs w:val="18"/>
    </w:rPr>
  </w:style>
  <w:style w:type="paragraph" w:styleId="40">
    <w:name w:val="toc 3"/>
    <w:basedOn w:val="1"/>
    <w:next w:val="1"/>
    <w:unhideWhenUsed/>
    <w:qFormat/>
    <w:uiPriority w:val="39"/>
    <w:pPr>
      <w:ind w:left="420"/>
      <w:jc w:val="left"/>
    </w:pPr>
    <w:rPr>
      <w:iCs/>
      <w:sz w:val="20"/>
      <w:szCs w:val="20"/>
    </w:rPr>
  </w:style>
  <w:style w:type="paragraph" w:styleId="41">
    <w:name w:val="Plain Text"/>
    <w:basedOn w:val="1"/>
    <w:link w:val="193"/>
    <w:unhideWhenUsed/>
    <w:qFormat/>
    <w:uiPriority w:val="99"/>
    <w:rPr>
      <w:rFonts w:ascii="宋体" w:hAnsi="Courier New"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unhideWhenUsed/>
    <w:qFormat/>
    <w:uiPriority w:val="99"/>
    <w:rPr>
      <w:rFonts w:eastAsia="仿宋_GB2312"/>
      <w:sz w:val="28"/>
      <w:szCs w:val="20"/>
    </w:rPr>
  </w:style>
  <w:style w:type="paragraph" w:styleId="47">
    <w:name w:val="Body Text Indent 2"/>
    <w:basedOn w:val="1"/>
    <w:link w:val="112"/>
    <w:unhideWhenUsed/>
    <w:qFormat/>
    <w:uiPriority w:val="99"/>
    <w:pPr>
      <w:spacing w:line="300" w:lineRule="auto"/>
      <w:ind w:firstLine="480"/>
    </w:pPr>
    <w:rPr>
      <w:rFonts w:ascii="黑体" w:eastAsia="黑体"/>
      <w:szCs w:val="24"/>
    </w:rPr>
  </w:style>
  <w:style w:type="paragraph" w:styleId="48">
    <w:name w:val="endnote text"/>
    <w:basedOn w:val="1"/>
    <w:link w:val="133"/>
    <w:unhideWhenUsed/>
    <w:qFormat/>
    <w:uiPriority w:val="0"/>
    <w:pPr>
      <w:snapToGrid w:val="0"/>
      <w:jc w:val="left"/>
    </w:pPr>
    <w:rPr>
      <w:szCs w:val="20"/>
    </w:rPr>
  </w:style>
  <w:style w:type="paragraph" w:styleId="49">
    <w:name w:val="Balloon Text"/>
    <w:basedOn w:val="1"/>
    <w:link w:val="131"/>
    <w:qFormat/>
    <w:uiPriority w:val="99"/>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unhideWhenUsed/>
    <w:qFormat/>
    <w:uiPriority w:val="99"/>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unhideWhenUsed/>
    <w:qFormat/>
    <w:uiPriority w:val="39"/>
    <w:pPr>
      <w:ind w:left="630"/>
      <w:jc w:val="left"/>
    </w:pPr>
    <w:rPr>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99"/>
    <w:pPr>
      <w:ind w:left="200" w:hanging="200" w:hangingChars="200"/>
    </w:pPr>
    <w:rPr>
      <w:rFonts w:ascii="Times New Roman" w:hAnsi="Times New Roman"/>
      <w:szCs w:val="24"/>
    </w:rPr>
  </w:style>
  <w:style w:type="paragraph" w:styleId="60">
    <w:name w:val="footnote text"/>
    <w:basedOn w:val="1"/>
    <w:link w:val="186"/>
    <w:unhideWhenUsed/>
    <w:qFormat/>
    <w:uiPriority w:val="99"/>
    <w:pPr>
      <w:snapToGrid w:val="0"/>
      <w:jc w:val="left"/>
    </w:pPr>
    <w:rPr>
      <w:sz w:val="18"/>
      <w:szCs w:val="20"/>
    </w:rPr>
  </w:style>
  <w:style w:type="paragraph" w:styleId="61">
    <w:name w:val="toc 6"/>
    <w:basedOn w:val="1"/>
    <w:next w:val="1"/>
    <w:unhideWhenUsed/>
    <w:qFormat/>
    <w:uiPriority w:val="39"/>
    <w:pPr>
      <w:ind w:left="1050"/>
      <w:jc w:val="left"/>
    </w:pPr>
    <w:rPr>
      <w:sz w:val="18"/>
      <w:szCs w:val="18"/>
    </w:rPr>
  </w:style>
  <w:style w:type="paragraph" w:styleId="62">
    <w:name w:val="List 5"/>
    <w:basedOn w:val="63"/>
    <w:unhideWhenUsed/>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unhideWhenUsed/>
    <w:qFormat/>
    <w:uiPriority w:val="0"/>
    <w:rPr>
      <w:rFonts w:ascii="Times New Roman" w:hAnsi="Times New Roman"/>
      <w:b/>
      <w:szCs w:val="20"/>
    </w:rPr>
  </w:style>
  <w:style w:type="paragraph" w:styleId="64">
    <w:name w:val="Body Text Indent 3"/>
    <w:basedOn w:val="1"/>
    <w:link w:val="107"/>
    <w:unhideWhenUsed/>
    <w:qFormat/>
    <w:uiPriority w:val="99"/>
    <w:pPr>
      <w:spacing w:after="120"/>
      <w:ind w:left="420" w:leftChars="200"/>
    </w:pPr>
    <w:rPr>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nhideWhenUsed/>
    <w:qFormat/>
    <w:uiPriority w:val="99"/>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nhideWhenUsed/>
    <w:qFormat/>
    <w:uiPriority w:val="39"/>
    <w:pPr>
      <w:ind w:left="210"/>
      <w:jc w:val="left"/>
    </w:pPr>
    <w:rPr>
      <w:smallCaps/>
      <w:sz w:val="20"/>
      <w:szCs w:val="20"/>
    </w:rPr>
  </w:style>
  <w:style w:type="paragraph" w:styleId="69">
    <w:name w:val="toc 9"/>
    <w:basedOn w:val="1"/>
    <w:next w:val="1"/>
    <w:unhideWhenUsed/>
    <w:qFormat/>
    <w:uiPriority w:val="39"/>
    <w:pPr>
      <w:ind w:left="1680"/>
      <w:jc w:val="left"/>
    </w:pPr>
    <w:rPr>
      <w:sz w:val="18"/>
      <w:szCs w:val="18"/>
    </w:rPr>
  </w:style>
  <w:style w:type="paragraph" w:styleId="70">
    <w:name w:val="Body Text 2"/>
    <w:basedOn w:val="1"/>
    <w:link w:val="221"/>
    <w:unhideWhenUsed/>
    <w:qFormat/>
    <w:uiPriority w:val="99"/>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unhideWhenUsed/>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nhideWhenUsed/>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99"/>
    <w:pPr>
      <w:spacing w:line="220" w:lineRule="exact"/>
      <w:jc w:val="center"/>
    </w:pPr>
    <w:rPr>
      <w:rFonts w:ascii="仿宋_GB2312" w:eastAsia="仿宋_GB2312"/>
      <w:szCs w:val="21"/>
    </w:rPr>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99"/>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unhideWhenUsed/>
    <w:qFormat/>
    <w:uiPriority w:val="0"/>
    <w:rPr>
      <w:rFonts w:ascii="Calibri" w:hAnsi="Calibri" w:eastAsia="宋体" w:cs="Times New Roman"/>
      <w:vertAlign w:val="superscript"/>
      <w:lang w:val="en-US" w:eastAsia="zh-CN" w:bidi="ar-SA"/>
    </w:rPr>
  </w:style>
  <w:style w:type="character" w:styleId="82">
    <w:name w:val="page number"/>
    <w:unhideWhenUsed/>
    <w:qFormat/>
    <w:uiPriority w:val="0"/>
    <w:rPr>
      <w:rFonts w:ascii="Calibri" w:hAnsi="Calibri" w:eastAsia="宋体" w:cs="Times New Roman"/>
      <w:lang w:val="en-US" w:eastAsia="zh-CN" w:bidi="ar-SA"/>
    </w:rPr>
  </w:style>
  <w:style w:type="character" w:styleId="83">
    <w:name w:val="FollowedHyperlink"/>
    <w:unhideWhenUsed/>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unhideWhenUsed/>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unhideWhenUsed/>
    <w:qFormat/>
    <w:uiPriority w:val="0"/>
    <w:rPr>
      <w:rFonts w:ascii="Calibri" w:hAnsi="Calibri" w:eastAsia="宋体" w:cs="Times New Roman"/>
      <w:sz w:val="21"/>
      <w:szCs w:val="21"/>
      <w:lang w:val="en-US" w:eastAsia="zh-CN" w:bidi="ar-SA"/>
    </w:rPr>
  </w:style>
  <w:style w:type="character" w:styleId="88">
    <w:name w:val="footnote reference"/>
    <w:unhideWhenUsed/>
    <w:qFormat/>
    <w:uiPriority w:val="0"/>
    <w:rPr>
      <w:rFonts w:ascii="Calibri" w:hAnsi="Calibri" w:eastAsia="宋体" w:cs="Times New Roman"/>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Calibri" w:hAnsi="Calibri" w:eastAsia="宋体" w:cs="Times New Roman"/>
      <w:sz w:val="18"/>
      <w:szCs w:val="18"/>
      <w:lang w:val="en-US" w:eastAsia="zh-CN" w:bidi="ar-SA"/>
    </w:rPr>
  </w:style>
  <w:style w:type="character" w:customStyle="1" w:styleId="94">
    <w:name w:val="页脚 字符1"/>
    <w:link w:val="50"/>
    <w:qFormat/>
    <w:uiPriority w:val="0"/>
    <w:rPr>
      <w:rFonts w:ascii="Calibri" w:hAnsi="Calibri" w:eastAsia="宋体" w:cs="Times New Roman"/>
      <w:sz w:val="18"/>
      <w:szCs w:val="18"/>
      <w:lang w:val="en-US" w:eastAsia="zh-CN" w:bidi="ar-SA"/>
    </w:rPr>
  </w:style>
  <w:style w:type="character" w:customStyle="1" w:styleId="95">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Calibri" w:hAnsi="Calibri"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Calibri" w:hAnsi="Calibri"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99"/>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1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12"/>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Calibri" w:hAnsi="Calibri" w:eastAsia="宋体" w:cs="Times New Roman"/>
      <w:szCs w:val="24"/>
      <w:lang w:val="en-US" w:eastAsia="zh-CN" w:bidi="ar-SA"/>
    </w:rPr>
  </w:style>
  <w:style w:type="character" w:customStyle="1" w:styleId="131">
    <w:name w:val="批注框文本 字符1"/>
    <w:link w:val="49"/>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13"/>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1"/>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99"/>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99"/>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99"/>
    <w:rPr>
      <w:rFonts w:ascii="Times New Roman" w:hAnsi="Times New Roman" w:eastAsia="宋体" w:cs="Times New Roman"/>
      <w:szCs w:val="24"/>
      <w:lang w:val="en-US" w:eastAsia="zh-CN" w:bidi="ar-SA"/>
    </w:rPr>
  </w:style>
  <w:style w:type="character" w:customStyle="1" w:styleId="192">
    <w:name w:val="批注主题 Char"/>
    <w:qFormat/>
    <w:uiPriority w:val="99"/>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99"/>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99"/>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99"/>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99"/>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99"/>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99"/>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uiPriority w:val="99"/>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99"/>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99"/>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99"/>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34"/>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link w:val="1860"/>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Calibri" w:hAnsi="Calibri" w:eastAsia="宋体" w:cs="Times New Roman"/>
      <w:lang w:val="en-US" w:eastAsia="zh-CN" w:bidi="ar-SA"/>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99"/>
    <w:rPr>
      <w:rFonts w:ascii="Calibri" w:hAnsi="Calibri" w:eastAsia="宋体" w:cs="Times New Roman"/>
      <w:kern w:val="0"/>
      <w:sz w:val="20"/>
      <w:szCs w:val="20"/>
      <w:lang w:val="en-US" w:eastAsia="zh-CN" w:bidi="ar-SA"/>
    </w:rPr>
  </w:style>
  <w:style w:type="character" w:customStyle="1" w:styleId="592">
    <w:name w:val="标题3 Char"/>
    <w:basedOn w:val="79"/>
    <w:link w:val="593"/>
    <w:qFormat/>
    <w:locked/>
    <w:uiPriority w:val="0"/>
    <w:rPr>
      <w:rFonts w:ascii="Calibri" w:hAnsi="Calibri"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99"/>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Calibri" w:hAnsi="Calibri"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Calibri"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99"/>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Calibri"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99"/>
    <w:rPr>
      <w:rFonts w:ascii="Times New Roman" w:hAnsi="Times New Roman"/>
      <w:szCs w:val="24"/>
    </w:rPr>
  </w:style>
  <w:style w:type="character" w:customStyle="1" w:styleId="754">
    <w:name w:val="表格 Char"/>
    <w:basedOn w:val="79"/>
    <w:qFormat/>
    <w:uiPriority w:val="0"/>
    <w:rPr>
      <w:rFonts w:ascii="Calibri" w:hAnsi="Calibri"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Calibri" w:hAnsi="Calibri"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99"/>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99"/>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99"/>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99"/>
    <w:rPr>
      <w:rFonts w:ascii="Times New Roman" w:hAnsi="Times New Roman" w:eastAsia="宋体" w:cs="Times New Roman"/>
      <w:sz w:val="18"/>
      <w:szCs w:val="18"/>
      <w:lang w:val="en-US" w:eastAsia="zh-CN" w:bidi="ar-SA"/>
    </w:rPr>
  </w:style>
  <w:style w:type="character" w:customStyle="1" w:styleId="790">
    <w:name w:val="页脚 Char"/>
    <w:basedOn w:val="79"/>
    <w:qFormat/>
    <w:uiPriority w:val="99"/>
    <w:rPr>
      <w:rFonts w:ascii="Times New Roman" w:hAnsi="Times New Roman" w:eastAsia="宋体" w:cs="Times New Roman"/>
      <w:sz w:val="18"/>
      <w:szCs w:val="18"/>
      <w:lang w:val="en-US" w:eastAsia="zh-CN" w:bidi="ar-SA"/>
    </w:rPr>
  </w:style>
  <w:style w:type="character" w:customStyle="1" w:styleId="791">
    <w:name w:val="页眉 Char"/>
    <w:basedOn w:val="79"/>
    <w:qFormat/>
    <w:uiPriority w:val="99"/>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99"/>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99"/>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99"/>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bidi="ar-SA"/>
    </w:rPr>
  </w:style>
  <w:style w:type="character" w:customStyle="1" w:styleId="825">
    <w:name w:val="图形布置 Char"/>
    <w:link w:val="826"/>
    <w:qFormat/>
    <w:uiPriority w:val="0"/>
    <w:rPr>
      <w:rFonts w:ascii="Calibri" w:hAnsi="Calibri"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99"/>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99"/>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Calibri" w:hAnsi="Calibri" w:eastAsia="宋体" w:cs="Times New Roman"/>
      <w:sz w:val="24"/>
      <w:szCs w:val="24"/>
      <w:lang w:val="en-US" w:eastAsia="zh-CN" w:bidi="ar-SA"/>
    </w:rPr>
  </w:style>
  <w:style w:type="character" w:customStyle="1" w:styleId="972">
    <w:name w:val="表格文字图表文字 Char"/>
    <w:link w:val="973"/>
    <w:qFormat/>
    <w:uiPriority w:val="0"/>
    <w:rPr>
      <w:rFonts w:ascii="Calibri" w:hAnsi="Calibri"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lang w:val="en-US" w:eastAsia="zh-CN" w:bidi="ar-SA"/>
    </w:rPr>
  </w:style>
  <w:style w:type="character" w:customStyle="1" w:styleId="1015">
    <w:name w:val="符号标题 Char Char"/>
    <w:link w:val="1016"/>
    <w:qFormat/>
    <w:uiPriority w:val="0"/>
    <w:rPr>
      <w:rFonts w:ascii="Calibri" w:hAnsi="Calibri"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lang w:val="en-US" w:eastAsia="zh-CN" w:bidi="ar-SA"/>
    </w:rPr>
  </w:style>
  <w:style w:type="character" w:customStyle="1" w:styleId="1163">
    <w:name w:val="apple-converted-space"/>
    <w:qFormat/>
    <w:uiPriority w:val="0"/>
    <w:rPr>
      <w:rFonts w:ascii="Calibri" w:hAnsi="Calibri"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Calibri" w:hAnsi="Calibri"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Calibri" w:hAnsi="Calibri"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Calibri" w:hAnsi="Calibri"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lang w:val="en-US" w:eastAsia="zh-CN" w:bidi="ar-SA"/>
    </w:rPr>
  </w:style>
  <w:style w:type="character" w:customStyle="1" w:styleId="1377">
    <w:name w:val="article1"/>
    <w:qFormat/>
    <w:uiPriority w:val="0"/>
    <w:rPr>
      <w:rFonts w:ascii="Calibri" w:hAnsi="Calibri" w:eastAsia="宋体" w:cs="Times New Roman"/>
      <w:sz w:val="22"/>
      <w:szCs w:val="22"/>
      <w:lang w:val="en-US" w:eastAsia="zh-CN" w:bidi="ar-SA"/>
    </w:rPr>
  </w:style>
  <w:style w:type="character" w:customStyle="1" w:styleId="1378">
    <w:name w:val="title2 style1"/>
    <w:qFormat/>
    <w:uiPriority w:val="0"/>
    <w:rPr>
      <w:rFonts w:ascii="Calibri" w:hAnsi="Calibri" w:eastAsia="宋体" w:cs="Times New Roman"/>
      <w:lang w:val="en-US" w:eastAsia="zh-CN" w:bidi="ar-SA"/>
    </w:rPr>
  </w:style>
  <w:style w:type="character" w:customStyle="1" w:styleId="1379">
    <w:name w:val="bluetxt1"/>
    <w:qFormat/>
    <w:uiPriority w:val="0"/>
    <w:rPr>
      <w:rFonts w:ascii="Calibri" w:hAnsi="Calibri" w:eastAsia="宋体" w:cs="Times New Roman"/>
      <w:lang w:val="en-US" w:eastAsia="zh-CN" w:bidi="ar-SA"/>
    </w:rPr>
  </w:style>
  <w:style w:type="character" w:customStyle="1" w:styleId="1380">
    <w:name w:val="tcnt3"/>
    <w:qFormat/>
    <w:uiPriority w:val="0"/>
    <w:rPr>
      <w:rFonts w:ascii="Calibri" w:hAnsi="Calibri"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lang w:val="en-US" w:eastAsia="zh-CN" w:bidi="ar-SA"/>
    </w:rPr>
  </w:style>
  <w:style w:type="character" w:customStyle="1" w:styleId="1393">
    <w:name w:val="样式 ！正文1） + (符号) 宋体 Char"/>
    <w:link w:val="1394"/>
    <w:qFormat/>
    <w:uiPriority w:val="0"/>
    <w:rPr>
      <w:rFonts w:ascii="Calibri" w:hAnsi="Calibri"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Calibri" w:hAnsi="Calibri"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Calibri" w:hAnsi="Calibri" w:eastAsia="宋体" w:cs="Times New Roman"/>
      <w:sz w:val="24"/>
      <w:lang w:val="en-US" w:eastAsia="zh-CN" w:bidi="ar-SA"/>
    </w:rPr>
  </w:style>
  <w:style w:type="character" w:customStyle="1" w:styleId="1444">
    <w:name w:val="正文文本缩进 2 Char1"/>
    <w:qFormat/>
    <w:uiPriority w:val="0"/>
    <w:rPr>
      <w:rFonts w:ascii="Calibri" w:hAnsi="Calibri"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Calibri" w:hAnsi="Calibri"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Calibri" w:hAnsi="Calibri"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99"/>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Calibri" w:hAnsi="Calibri" w:eastAsia="宋体" w:cs="Times New Roman"/>
      <w:lang w:val="en-US" w:eastAsia="zh-CN" w:bidi="ar-SA"/>
    </w:rPr>
  </w:style>
  <w:style w:type="character" w:customStyle="1" w:styleId="1519">
    <w:name w:val="text1"/>
    <w:qFormat/>
    <w:uiPriority w:val="0"/>
    <w:rPr>
      <w:rFonts w:ascii="Calibri" w:hAnsi="Calibri"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lang w:val="en-US" w:eastAsia="zh-CN" w:bidi="ar-SA"/>
    </w:rPr>
  </w:style>
  <w:style w:type="character" w:customStyle="1" w:styleId="1660">
    <w:name w:val="自定正文 Char"/>
    <w:link w:val="1661"/>
    <w:semiHidden/>
    <w:qFormat/>
    <w:uiPriority w:val="0"/>
    <w:rPr>
      <w:rFonts w:ascii="Calibri" w:hAnsi="Calibri"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Calibri"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lang w:val="en-US" w:eastAsia="zh-CN" w:bidi="ar-SA"/>
    </w:rPr>
  </w:style>
  <w:style w:type="character" w:customStyle="1" w:styleId="1710">
    <w:name w:val="页脚 Char Char Char"/>
    <w:qFormat/>
    <w:uiPriority w:val="0"/>
    <w:rPr>
      <w:rFonts w:ascii="Calibri" w:hAnsi="Calibri" w:eastAsia="宋体" w:cs="Times New Roman"/>
      <w:kern w:val="2"/>
      <w:sz w:val="18"/>
      <w:szCs w:val="18"/>
      <w:lang w:val="en-US" w:eastAsia="zh-CN" w:bidi="ar-SA"/>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Calibri" w:hAnsi="Calibri" w:eastAsia="宋体" w:cs="Times New Roman"/>
      <w:lang w:val="en-US" w:eastAsia="zh-CN" w:bidi="ar-SA"/>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uiPriority w:val="0"/>
    <w:rPr>
      <w:rFonts w:ascii="Calibri" w:hAnsi="Calibri" w:eastAsia="宋体" w:cs="Times New Roman"/>
      <w:kern w:val="2"/>
      <w:sz w:val="24"/>
      <w:szCs w:val="24"/>
      <w:lang w:val="en-US" w:eastAsia="zh-CN" w:bidi="ar-SA"/>
    </w:rPr>
  </w:style>
  <w:style w:type="character" w:customStyle="1" w:styleId="1806">
    <w:name w:val="Char Char163"/>
    <w:qFormat/>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8">
    <w:name w:val="Char Char112"/>
    <w:link w:val="1809"/>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lang w:val="en-US" w:eastAsia="zh-CN" w:bidi="ar-SA"/>
    </w:rPr>
  </w:style>
  <w:style w:type="character" w:customStyle="1" w:styleId="1811">
    <w:name w:val="正文文本 3 字符"/>
    <w:uiPriority w:val="0"/>
    <w:rPr>
      <w:rFonts w:ascii="Calibri" w:hAnsi="Calibri" w:eastAsia="宋体" w:cs="Times New Roman"/>
      <w:color w:val="FF0000"/>
      <w:kern w:val="2"/>
      <w:sz w:val="22"/>
      <w:lang w:val="en-US" w:eastAsia="zh-CN" w:bidi="ar-SA"/>
    </w:rPr>
  </w:style>
  <w:style w:type="character" w:customStyle="1" w:styleId="1812">
    <w:name w:val="标题 字符"/>
    <w:qFormat/>
    <w:uiPriority w:val="1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Calibri" w:hAnsi="Calibri" w:eastAsia="宋体" w:cs="Times New Roman"/>
      <w:kern w:val="2"/>
      <w:sz w:val="21"/>
      <w:szCs w:val="24"/>
      <w:lang w:val="en-US" w:eastAsia="zh-CN" w:bidi="ar-SA"/>
    </w:rPr>
  </w:style>
  <w:style w:type="character" w:customStyle="1" w:styleId="1817">
    <w:name w:val="标题 3 字符"/>
    <w:qFormat/>
    <w:uiPriority w:val="0"/>
    <w:rPr>
      <w:rFonts w:ascii="Calibri" w:hAnsi="Calibri" w:eastAsia="宋体" w:cs="Times New Roman"/>
      <w:bCs/>
      <w:kern w:val="2"/>
      <w:sz w:val="21"/>
      <w:szCs w:val="32"/>
      <w:lang w:val="en-US" w:eastAsia="zh-CN" w:bidi="ar-SA"/>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uiPriority w:val="0"/>
    <w:rPr>
      <w:rFonts w:ascii="宋体" w:hAnsi="Calibri"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uiPriority w:val="0"/>
    <w:rPr>
      <w:rFonts w:ascii="宋体" w:hAnsi="Calibri"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Calibri" w:hAnsi="Calibri" w:eastAsia="宋体" w:cs="Times New Roman"/>
      <w:sz w:val="21"/>
      <w:szCs w:val="24"/>
      <w:lang w:val="en-US" w:eastAsia="zh-CN" w:bidi="ar-SA"/>
    </w:rPr>
  </w:style>
  <w:style w:type="character" w:customStyle="1" w:styleId="1824">
    <w:name w:val="日期 字符"/>
    <w:qFormat/>
    <w:uiPriority w:val="0"/>
    <w:rPr>
      <w:rFonts w:ascii="Calibri" w:hAnsi="Calibri" w:eastAsia="宋体" w:cs="Times New Roman"/>
      <w:kern w:val="2"/>
      <w:sz w:val="21"/>
      <w:lang w:val="en-US" w:eastAsia="zh-CN" w:bidi="ar-SA"/>
    </w:rPr>
  </w:style>
  <w:style w:type="character" w:customStyle="1" w:styleId="1825">
    <w:name w:val="标题 1 字符"/>
    <w:locked/>
    <w:uiPriority w:val="9"/>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lang w:val="en-US" w:eastAsia="zh-CN" w:bidi="ar-SA"/>
    </w:rPr>
  </w:style>
  <w:style w:type="character" w:customStyle="1" w:styleId="1827">
    <w:name w:val="Char Char53"/>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uiPriority w:val="99"/>
    <w:rPr>
      <w:rFonts w:ascii="Calibri" w:hAnsi="Calibri" w:eastAsia="宋体" w:cs="Times New Roman"/>
      <w:color w:val="605E5C"/>
      <w:shd w:val="clear" w:color="auto" w:fill="E1DFDD"/>
      <w:lang w:val="en-US" w:eastAsia="zh-CN" w:bidi="ar-SA"/>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 w:type="paragraph" w:customStyle="1" w:styleId="1853">
    <w:name w:val="Char Char Char Char Char Char Char Char Char Char"/>
    <w:basedOn w:val="1"/>
    <w:uiPriority w:val="99"/>
    <w:pPr>
      <w:widowControl/>
      <w:spacing w:after="160" w:line="240" w:lineRule="exact"/>
      <w:jc w:val="left"/>
    </w:pPr>
    <w:rPr>
      <w:rFonts w:ascii="Times New Roman" w:hAnsi="Times New Roman"/>
      <w:szCs w:val="20"/>
    </w:rPr>
  </w:style>
  <w:style w:type="paragraph" w:customStyle="1" w:styleId="1854">
    <w:name w:val="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5">
    <w:name w:val="_Style 5"/>
    <w:basedOn w:val="1"/>
    <w:next w:val="1"/>
    <w:qFormat/>
    <w:uiPriority w:val="99"/>
    <w:rPr>
      <w:rFonts w:ascii="Times New Roman" w:hAnsi="Times New Roman"/>
      <w:szCs w:val="20"/>
    </w:rPr>
  </w:style>
  <w:style w:type="paragraph" w:customStyle="1" w:styleId="1856">
    <w:name w:val="1 Char Char Char"/>
    <w:basedOn w:val="1"/>
    <w:next w:val="4"/>
    <w:qFormat/>
    <w:uiPriority w:val="99"/>
    <w:pPr>
      <w:spacing w:line="500" w:lineRule="exact"/>
      <w:ind w:firstLine="200"/>
      <w:jc w:val="center"/>
    </w:pPr>
    <w:rPr>
      <w:rFonts w:ascii="仿宋_GB2312" w:hAnsi="Arial" w:eastAsia="仿宋_GB2312" w:cs="Arial"/>
      <w:bCs/>
      <w:sz w:val="32"/>
      <w:szCs w:val="32"/>
    </w:rPr>
  </w:style>
  <w:style w:type="paragraph" w:customStyle="1" w:styleId="1857">
    <w:name w:val="表1"/>
    <w:basedOn w:val="1"/>
    <w:qFormat/>
    <w:uiPriority w:val="99"/>
    <w:pPr>
      <w:tabs>
        <w:tab w:val="left" w:pos="720"/>
        <w:tab w:val="left" w:pos="851"/>
      </w:tabs>
      <w:overflowPunct w:val="0"/>
      <w:autoSpaceDE w:val="0"/>
      <w:autoSpaceDN w:val="0"/>
      <w:adjustRightInd w:val="0"/>
      <w:spacing w:before="200" w:line="320" w:lineRule="atLeast"/>
      <w:ind w:firstLine="624"/>
    </w:pPr>
    <w:rPr>
      <w:rFonts w:ascii="Times New Roman" w:hAnsi="Times New Roman"/>
      <w:kern w:val="0"/>
      <w:sz w:val="24"/>
      <w:szCs w:val="20"/>
    </w:rPr>
  </w:style>
  <w:style w:type="paragraph" w:customStyle="1" w:styleId="1858">
    <w:name w:val="0"/>
    <w:basedOn w:val="1"/>
    <w:qFormat/>
    <w:uiPriority w:val="99"/>
    <w:pPr>
      <w:widowControl/>
    </w:pPr>
    <w:rPr>
      <w:rFonts w:ascii="Times New Roman" w:hAnsi="Times New Roman"/>
      <w:kern w:val="0"/>
      <w:szCs w:val="20"/>
    </w:rPr>
  </w:style>
  <w:style w:type="paragraph" w:customStyle="1" w:styleId="1859">
    <w:name w:val="!机场正文"/>
    <w:basedOn w:val="1"/>
    <w:qFormat/>
    <w:uiPriority w:val="99"/>
    <w:pPr>
      <w:spacing w:line="560" w:lineRule="exact"/>
      <w:ind w:firstLine="200" w:firstLineChars="200"/>
    </w:pPr>
    <w:rPr>
      <w:rFonts w:ascii="仿宋_GB2312" w:hAnsi="仿宋_GB2312" w:eastAsia="仿宋_GB2312"/>
      <w:sz w:val="32"/>
    </w:rPr>
  </w:style>
  <w:style w:type="character" w:customStyle="1" w:styleId="1860">
    <w:name w:val="样式 样式1 + 首行缩进:  2 字符 Char"/>
    <w:link w:val="464"/>
    <w:qFormat/>
    <w:locked/>
    <w:uiPriority w:val="0"/>
    <w:rPr>
      <w:rFonts w:ascii="Arial" w:hAnsi="Arial" w:eastAsia="宋体" w:cs="Times New Roman"/>
      <w:szCs w:val="20"/>
      <w:lang w:val="en-US" w:eastAsia="zh-CN" w:bidi="ar-SA"/>
    </w:rPr>
  </w:style>
  <w:style w:type="paragraph" w:customStyle="1" w:styleId="1861">
    <w:name w:val="19"/>
    <w:basedOn w:val="1"/>
    <w:uiPriority w:val="99"/>
    <w:pPr>
      <w:widowControl/>
      <w:snapToGrid w:val="0"/>
      <w:spacing w:before="100" w:beforeAutospacing="1" w:after="120" w:line="360" w:lineRule="atLeast"/>
      <w:jc w:val="left"/>
    </w:pPr>
    <w:rPr>
      <w:rFonts w:ascii="宋体" w:hAnsi="宋体"/>
      <w:kern w:val="0"/>
      <w:sz w:val="28"/>
      <w:szCs w:val="20"/>
    </w:rPr>
  </w:style>
  <w:style w:type="paragraph" w:customStyle="1" w:styleId="1862">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63">
    <w:name w:val="样式 一号 加粗 居中"/>
    <w:basedOn w:val="1"/>
    <w:qFormat/>
    <w:uiPriority w:val="99"/>
    <w:pPr>
      <w:jc w:val="center"/>
    </w:pPr>
    <w:rPr>
      <w:rFonts w:ascii="Times New Roman" w:hAnsi="Times New Roman" w:cs="宋体"/>
      <w:bCs/>
      <w:sz w:val="52"/>
      <w:szCs w:val="20"/>
    </w:rPr>
  </w:style>
  <w:style w:type="paragraph" w:customStyle="1" w:styleId="1864">
    <w:name w:val="样式 标题 1 + (符号) Arial 三号"/>
    <w:basedOn w:val="2"/>
    <w:qFormat/>
    <w:uiPriority w:val="99"/>
    <w:pPr>
      <w:snapToGrid w:val="0"/>
      <w:spacing w:before="0" w:after="0" w:line="360" w:lineRule="auto"/>
    </w:pPr>
    <w:rPr>
      <w:rFonts w:ascii="Times New Roman" w:hAnsi="Times New Roman"/>
      <w:sz w:val="32"/>
      <w:lang w:val="zh-CN" w:eastAsia="zh-CN"/>
    </w:rPr>
  </w:style>
  <w:style w:type="character" w:customStyle="1" w:styleId="1865">
    <w:name w:val="z-窗体底端 字符"/>
    <w:basedOn w:val="79"/>
    <w:link w:val="1866"/>
    <w:semiHidden/>
    <w:uiPriority w:val="0"/>
    <w:rPr>
      <w:rFonts w:ascii="Arial" w:hAnsi="Arial" w:eastAsia="宋体" w:cs="Arial"/>
      <w:vanish/>
      <w:kern w:val="0"/>
      <w:sz w:val="16"/>
      <w:szCs w:val="16"/>
      <w:lang w:val="en-US" w:eastAsia="zh-CN" w:bidi="ar-SA"/>
    </w:rPr>
  </w:style>
  <w:style w:type="paragraph" w:customStyle="1" w:styleId="1866">
    <w:name w:val="HTML Bottom of Form"/>
    <w:basedOn w:val="1"/>
    <w:next w:val="1"/>
    <w:link w:val="1865"/>
    <w:unhideWhenUsed/>
    <w:qFormat/>
    <w:uiPriority w:val="0"/>
    <w:pPr>
      <w:pBdr>
        <w:top w:val="single" w:color="auto" w:sz="6" w:space="1"/>
      </w:pBdr>
      <w:jc w:val="center"/>
    </w:pPr>
    <w:rPr>
      <w:rFonts w:ascii="Arial" w:hAnsi="Arial" w:cs="Arial"/>
      <w:vanish/>
      <w:kern w:val="0"/>
      <w:sz w:val="16"/>
      <w:szCs w:val="16"/>
    </w:rPr>
  </w:style>
  <w:style w:type="character" w:customStyle="1" w:styleId="1867">
    <w:name w:val="z-窗体底端 Char1"/>
    <w:basedOn w:val="79"/>
    <w:semiHidden/>
    <w:uiPriority w:val="99"/>
    <w:rPr>
      <w:rFonts w:ascii="Arial" w:hAnsi="Arial" w:eastAsia="宋体" w:cs="Arial"/>
      <w:vanish/>
      <w:kern w:val="2"/>
      <w:sz w:val="16"/>
      <w:szCs w:val="16"/>
      <w:lang w:val="en-US" w:eastAsia="zh-CN" w:bidi="ar-SA"/>
    </w:rPr>
  </w:style>
  <w:style w:type="character" w:customStyle="1" w:styleId="1868">
    <w:name w:val="z-窗体顶端 字符"/>
    <w:basedOn w:val="79"/>
    <w:link w:val="1869"/>
    <w:semiHidden/>
    <w:qFormat/>
    <w:uiPriority w:val="0"/>
    <w:rPr>
      <w:rFonts w:ascii="Arial" w:hAnsi="Arial" w:eastAsia="宋体" w:cs="Arial"/>
      <w:vanish/>
      <w:kern w:val="0"/>
      <w:sz w:val="16"/>
      <w:szCs w:val="16"/>
      <w:lang w:val="en-US" w:eastAsia="zh-CN" w:bidi="ar-SA"/>
    </w:rPr>
  </w:style>
  <w:style w:type="paragraph" w:customStyle="1" w:styleId="1869">
    <w:name w:val="HTML Top of Form"/>
    <w:basedOn w:val="1"/>
    <w:next w:val="1"/>
    <w:link w:val="1868"/>
    <w:unhideWhenUsed/>
    <w:qFormat/>
    <w:uiPriority w:val="0"/>
    <w:pPr>
      <w:pBdr>
        <w:bottom w:val="single" w:color="auto" w:sz="6" w:space="1"/>
      </w:pBdr>
      <w:jc w:val="center"/>
    </w:pPr>
    <w:rPr>
      <w:rFonts w:ascii="Arial" w:hAnsi="Arial" w:cs="Arial"/>
      <w:vanish/>
      <w:kern w:val="0"/>
      <w:sz w:val="16"/>
      <w:szCs w:val="16"/>
    </w:rPr>
  </w:style>
  <w:style w:type="character" w:customStyle="1" w:styleId="1870">
    <w:name w:val="z-窗体顶端 Char1"/>
    <w:basedOn w:val="79"/>
    <w:semiHidden/>
    <w:qFormat/>
    <w:uiPriority w:val="99"/>
    <w:rPr>
      <w:rFonts w:ascii="Arial" w:hAnsi="Arial" w:eastAsia="宋体" w:cs="Arial"/>
      <w:vanish/>
      <w:kern w:val="2"/>
      <w:sz w:val="16"/>
      <w:szCs w:val="16"/>
      <w:lang w:val="en-US" w:eastAsia="zh-CN" w:bidi="ar-SA"/>
    </w:rPr>
  </w:style>
  <w:style w:type="character" w:customStyle="1" w:styleId="1871">
    <w:name w:val="一、 Char"/>
    <w:link w:val="1872"/>
    <w:qFormat/>
    <w:uiPriority w:val="0"/>
    <w:rPr>
      <w:rFonts w:ascii="仿宋_GB2312" w:hAnsi="宋体" w:eastAsia="仿宋_GB2312" w:cs="Times New Roman"/>
      <w:b/>
      <w:kern w:val="0"/>
      <w:sz w:val="28"/>
      <w:szCs w:val="28"/>
      <w:lang w:val="en-US" w:eastAsia="zh-CN" w:bidi="ar-SA"/>
    </w:rPr>
  </w:style>
  <w:style w:type="paragraph" w:customStyle="1" w:styleId="1872">
    <w:name w:val="一、"/>
    <w:basedOn w:val="1"/>
    <w:link w:val="187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7340</Words>
  <Characters>41839</Characters>
  <Lines>348</Lines>
  <Paragraphs>98</Paragraphs>
  <ScaleCrop>false</ScaleCrop>
  <LinksUpToDate>false</LinksUpToDate>
  <CharactersWithSpaces>49081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2020-04-16T10:42:43Z</dcterms:modified>
  <dc:title>杭州萧山国际机场服务类项目招标文件示范文本</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