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eastAsia="黑体" w:cs="Calibri"/>
          <w:b/>
          <w:sz w:val="44"/>
          <w:szCs w:val="44"/>
        </w:rPr>
        <w:t>管理信息</w:t>
      </w:r>
      <w:r>
        <w:rPr>
          <w:rFonts w:eastAsia="黑体" w:cs="Calibri"/>
          <w:b/>
          <w:sz w:val="44"/>
          <w:szCs w:val="44"/>
        </w:rPr>
        <w:t>系统</w:t>
      </w:r>
      <w:r>
        <w:rPr>
          <w:rFonts w:hint="eastAsia" w:eastAsia="黑体" w:cs="Calibri"/>
          <w:b/>
          <w:sz w:val="44"/>
          <w:szCs w:val="44"/>
        </w:rPr>
        <w:t>设备维保项目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lang w:eastAsia="zh-CN"/>
        </w:rPr>
        <w:t>九</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0"/>
        <w:rPr>
          <w:rFonts w:ascii="Calibri" w:cs="Calibri"/>
          <w:b/>
          <w:color w:val="000000"/>
          <w:sz w:val="44"/>
        </w:rPr>
      </w:pPr>
      <w:bookmarkStart w:id="3" w:name="_Toc386359390"/>
      <w:bookmarkStart w:id="4" w:name="_Toc349011855"/>
      <w:bookmarkStart w:id="5" w:name="_Toc349007685"/>
      <w:bookmarkStart w:id="6" w:name="_Toc386363314"/>
      <w:r>
        <w:rPr>
          <w:rFonts w:hint="eastAsia" w:ascii="Calibri" w:cs="Calibri"/>
          <w:b/>
          <w:color w:val="000000"/>
          <w:sz w:val="44"/>
        </w:rPr>
        <w:t xml:space="preserve"> </w:t>
      </w:r>
    </w:p>
    <w:p>
      <w:pPr>
        <w:pStyle w:val="30"/>
        <w:rPr>
          <w:rFonts w:ascii="Calibri" w:hAnsi="Calibri" w:cs="Calibri"/>
          <w:b/>
          <w:color w:val="000000"/>
          <w:sz w:val="44"/>
        </w:rPr>
      </w:pPr>
      <w:bookmarkStart w:id="7" w:name="_Toc448002981"/>
      <w:bookmarkStart w:id="8" w:name="_Toc444811406"/>
      <w:bookmarkStart w:id="9" w:name="_Toc444174976"/>
      <w:bookmarkStart w:id="10" w:name="_Toc400369182"/>
      <w:bookmarkStart w:id="11" w:name="_Toc44417345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30"/>
        <w:spacing w:line="480" w:lineRule="auto"/>
        <w:rPr>
          <w:rFonts w:ascii="黑体" w:hAnsi="黑体" w:eastAsia="黑体"/>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0"/>
        <w:spacing w:line="480" w:lineRule="auto"/>
        <w:rPr>
          <w:rFonts w:ascii="黑体" w:hAnsi="黑体" w:eastAsia="黑体"/>
          <w:bCs w:val="0"/>
          <w:kern w:val="2"/>
          <w:sz w:val="22"/>
          <w:szCs w:val="22"/>
        </w:rPr>
      </w:pPr>
      <w:r>
        <w:fldChar w:fldCharType="begin"/>
      </w:r>
      <w:r>
        <w:instrText xml:space="preserve"> HYPERLINK \l "_Toc448002982" </w:instrText>
      </w:r>
      <w:r>
        <w:fldChar w:fldCharType="separate"/>
      </w:r>
      <w:r>
        <w:rPr>
          <w:rStyle w:val="50"/>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2</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"_Toc448002983" </w:instrText>
      </w:r>
      <w:r>
        <w:fldChar w:fldCharType="separate"/>
      </w:r>
      <w:r>
        <w:rPr>
          <w:rStyle w:val="50"/>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4</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"_Toc448002985" </w:instrText>
      </w:r>
      <w:r>
        <w:fldChar w:fldCharType="separate"/>
      </w:r>
      <w:r>
        <w:rPr>
          <w:rStyle w:val="50"/>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12</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"_Toc448002986" </w:instrText>
      </w:r>
      <w:r>
        <w:fldChar w:fldCharType="separate"/>
      </w:r>
      <w:r>
        <w:rPr>
          <w:rStyle w:val="50"/>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15</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"_Toc448002987" </w:instrText>
      </w:r>
      <w:r>
        <w:fldChar w:fldCharType="separate"/>
      </w:r>
      <w:r>
        <w:rPr>
          <w:rStyle w:val="50"/>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41</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"_Toc448002988" </w:instrText>
      </w:r>
      <w:r>
        <w:fldChar w:fldCharType="separate"/>
      </w:r>
      <w:r>
        <w:rPr>
          <w:rStyle w:val="50"/>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44</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hAnsi="Calibri" w:cs="Calibri"/>
          <w:color w:val="000000"/>
        </w:rPr>
      </w:pPr>
    </w:p>
    <w:p/>
    <w:p/>
    <w:p/>
    <w:p/>
    <w:p/>
    <w:p/>
    <w:p/>
    <w:p/>
    <w:p/>
    <w:p/>
    <w:p/>
    <w:p/>
    <w:p>
      <w:pPr>
        <w:pStyle w:val="2"/>
        <w:spacing w:before="0" w:after="0" w:line="360" w:lineRule="auto"/>
        <w:jc w:val="center"/>
      </w:pPr>
    </w:p>
    <w:p>
      <w:pPr>
        <w:pStyle w:val="2"/>
        <w:spacing w:before="0" w:after="0" w:line="360" w:lineRule="auto"/>
        <w:jc w:val="center"/>
        <w:rPr>
          <w:rFonts w:ascii="Calibri" w:eastAsia="黑体" w:cs="Calibri"/>
          <w:kern w:val="0"/>
          <w:sz w:val="32"/>
        </w:rPr>
      </w:pPr>
      <w:r>
        <w:br w:type="page"/>
      </w:r>
      <w:bookmarkStart w:id="12" w:name="_Toc7641"/>
      <w:bookmarkStart w:id="13" w:name="_Toc24784"/>
      <w:bookmarkStart w:id="14" w:name="_Toc22293"/>
      <w:bookmarkStart w:id="15" w:name="_Toc6581"/>
      <w:bookmarkStart w:id="16" w:name="_Toc8110"/>
      <w:bookmarkStart w:id="17" w:name="_Toc18642"/>
      <w:bookmarkStart w:id="18" w:name="_Toc24932"/>
      <w:bookmarkStart w:id="19" w:name="_Toc6832"/>
      <w:bookmarkStart w:id="20" w:name="_Toc14628"/>
      <w:bookmarkStart w:id="21" w:name="_Toc448002982"/>
      <w:bookmarkStart w:id="22" w:name="_Toc248766631"/>
      <w:bookmarkStart w:id="23" w:name="_Toc249322950"/>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 xml:space="preserve"> 管理信息系统设备维保 </w:t>
      </w:r>
      <w:r>
        <w:rPr>
          <w:rFonts w:ascii="宋体" w:hAnsi="宋体" w:cs="Arial"/>
          <w:kern w:val="0"/>
          <w:sz w:val="22"/>
        </w:rPr>
        <w:t>项目</w:t>
      </w:r>
      <w:r>
        <w:rPr>
          <w:rFonts w:hint="eastAsia" w:ascii="宋体" w:hAnsi="宋体" w:cs="Arial"/>
          <w:kern w:val="0"/>
          <w:sz w:val="22"/>
        </w:rPr>
        <w:t>已批准建设，项目业主为杭州萧山国际机场有限公司，建设资金来源为自筹。项目已具备招标条件，现对本项目</w:t>
      </w:r>
      <w:r>
        <w:rPr>
          <w:rFonts w:hint="eastAsia" w:ascii="宋体" w:hAnsi="宋体" w:cs="Arial"/>
          <w:kern w:val="0"/>
          <w:sz w:val="22"/>
          <w:u w:val="single"/>
        </w:rPr>
        <w:t xml:space="preserve">  管理信息系统设备维保项目 </w:t>
      </w:r>
      <w:r>
        <w:rPr>
          <w:rFonts w:hint="eastAsia" w:ascii="宋体" w:hAnsi="宋体" w:cs="Arial"/>
          <w:kern w:val="0"/>
          <w:sz w:val="22"/>
        </w:rPr>
        <w:t>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u w:val="single"/>
        </w:rPr>
        <w:t xml:space="preserve"> 杭州萧山国际机场内 </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rPr>
          <w:rFonts w:ascii="宋体" w:hAnsi="宋体" w:cs="Arial"/>
          <w:kern w:val="0"/>
          <w:sz w:val="22"/>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（1）具有独立法人资格的制造商或代理商，持有有效营业执照，注册资金不少于人民币</w:t>
      </w:r>
      <w:r>
        <w:rPr>
          <w:rFonts w:ascii="宋体" w:hAnsi="宋体" w:cs="Arial"/>
          <w:kern w:val="0"/>
          <w:sz w:val="22"/>
        </w:rPr>
        <w:t>100</w:t>
      </w:r>
      <w:r>
        <w:rPr>
          <w:rFonts w:hint="eastAsia" w:ascii="宋体" w:hAnsi="宋体" w:cs="Arial"/>
          <w:kern w:val="0"/>
          <w:sz w:val="22"/>
        </w:rPr>
        <w:t>万元或等值外币 (按投标截止日中国人民银行公布的汇率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 xml:space="preserve">（3）近年（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（5）本项目不接受联合体投标。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w:t>
      </w:r>
      <w:r>
        <w:rPr>
          <w:rFonts w:hint="eastAsia" w:ascii="宋体" w:hAnsi="宋体" w:cs="Arial"/>
          <w:kern w:val="0"/>
          <w:sz w:val="22"/>
        </w:rPr>
        <w:t xml:space="preserve"> </w:t>
      </w:r>
      <w:r>
        <w:rPr>
          <w:rFonts w:hint="eastAsia" w:ascii="宋体" w:hAnsi="宋体" w:cs="Arial"/>
          <w:kern w:val="0"/>
          <w:sz w:val="22"/>
        </w:rPr>
        <w:fldChar w:fldCharType="end"/>
      </w:r>
      <w:r>
        <w:rPr>
          <w:rFonts w:hint="eastAsia" w:ascii="宋体" w:hAnsi="宋体" w:cs="Arial"/>
          <w:kern w:val="0"/>
          <w:sz w:val="22"/>
        </w:rPr>
        <w:t>招标信息页面自行下载招标文件。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8</w:t>
      </w:r>
      <w:r>
        <w:rPr>
          <w:rFonts w:hint="eastAsia" w:ascii="宋体" w:hAnsi="宋体" w:cs="Arial"/>
          <w:kern w:val="0"/>
          <w:sz w:val="22"/>
        </w:rPr>
        <w:t>日下午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分（北京时间）。投标文件在封口处加盖公章，并派专人于2019年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8</w:t>
      </w:r>
      <w:r>
        <w:rPr>
          <w:rFonts w:hint="eastAsia" w:ascii="宋体" w:hAnsi="宋体" w:cs="Arial"/>
          <w:kern w:val="0"/>
          <w:sz w:val="22"/>
        </w:rPr>
        <w:t>日下午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分（北京时间）前送至杭州萧山国际机场翔越路综合服务楼园区招标中心，逾期无效；若采用投递（邮寄）方式的，请于2019年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8</w:t>
      </w:r>
      <w:r>
        <w:rPr>
          <w:rFonts w:hint="eastAsia" w:ascii="宋体" w:hAnsi="宋体" w:cs="Arial"/>
          <w:kern w:val="0"/>
          <w:sz w:val="22"/>
        </w:rPr>
        <w:t>日下午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投标联系人：贾工      </w:t>
      </w:r>
      <w:r>
        <w:rPr>
          <w:rFonts w:ascii="宋体" w:hAnsi="宋体"/>
          <w:sz w:val="22"/>
        </w:rPr>
        <w:t xml:space="preserve">  </w:t>
      </w:r>
      <w:r>
        <w:rPr>
          <w:rFonts w:hint="eastAsia" w:ascii="宋体" w:hAnsi="宋体"/>
          <w:sz w:val="22"/>
        </w:rPr>
        <w:t>联系电话： 0571-83837612</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招标监督人：阮工         联系电话： </w:t>
      </w:r>
      <w:r>
        <w:rPr>
          <w:rFonts w:ascii="宋体" w:hAnsi="宋体"/>
          <w:sz w:val="22"/>
        </w:rPr>
        <w:t>0571-86662133</w:t>
      </w:r>
    </w:p>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26"/>
        <w:jc w:val="center"/>
        <w:rPr>
          <w:rFonts w:ascii="Calibri" w:hAnsi="Calibri" w:eastAsia="黑体" w:cs="Calibri"/>
          <w:kern w:val="2"/>
          <w:sz w:val="28"/>
          <w:szCs w:val="32"/>
        </w:rPr>
      </w:pPr>
      <w:bookmarkStart w:id="26" w:name="_Toc448002984"/>
      <w:bookmarkStart w:id="27" w:name="_Toc386363317"/>
      <w:bookmarkStart w:id="28" w:name="_Toc386359393"/>
      <w:bookmarkStart w:id="29" w:name="_Toc11881"/>
      <w:bookmarkStart w:id="30" w:name="_Toc349007688"/>
      <w:bookmarkStart w:id="31" w:name="_Toc444811409"/>
      <w:bookmarkStart w:id="32" w:name="_Toc444173459"/>
      <w:bookmarkStart w:id="33" w:name="_Toc349011858"/>
      <w:bookmarkStart w:id="34" w:name="_Toc400369185"/>
      <w:bookmarkStart w:id="35" w:name="_Toc444174979"/>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u w:val="single"/>
              </w:rPr>
              <w:t>管理信息系统设备维保</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41"/>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color w:val="FF0000"/>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rPr>
                <w:rFonts w:ascii="宋体" w:hAnsi="宋体"/>
                <w:color w:val="FF0000"/>
                <w:sz w:val="22"/>
              </w:rPr>
            </w:pPr>
            <w:r>
              <w:rPr>
                <w:rFonts w:hint="eastAsia" w:ascii="宋体" w:hAnsi="宋体" w:cs="仿宋_GB2312"/>
                <w:b/>
                <w:color w:val="0070C0"/>
                <w:szCs w:val="21"/>
              </w:rPr>
              <w:t>自合同生效之日起</w:t>
            </w:r>
            <w:r>
              <w:rPr>
                <w:rFonts w:hint="eastAsia" w:ascii="宋体" w:hAnsi="宋体"/>
                <w:color w:val="000000"/>
                <w:sz w:val="22"/>
                <w:u w:val="single"/>
              </w:rPr>
              <w:t>36个月。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 xml:space="preserve">   行业  </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w:t>
            </w:r>
            <w:r>
              <w:rPr>
                <w:rFonts w:ascii="宋体" w:hAnsi="宋体" w:cs="Calibri"/>
                <w:kern w:val="0"/>
                <w:sz w:val="22"/>
              </w:rPr>
              <w:t>9</w:t>
            </w:r>
            <w:r>
              <w:rPr>
                <w:rFonts w:hint="eastAsia" w:ascii="宋体" w:hAnsi="宋体" w:cs="Calibri"/>
                <w:kern w:val="0"/>
                <w:sz w:val="22"/>
              </w:rPr>
              <w:t>年</w:t>
            </w:r>
            <w:r>
              <w:rPr>
                <w:rFonts w:hint="eastAsia" w:ascii="宋体" w:hAnsi="宋体" w:cs="Calibri"/>
                <w:kern w:val="0"/>
                <w:sz w:val="22"/>
                <w:lang w:val="en-US" w:eastAsia="zh-CN"/>
              </w:rPr>
              <w:t>9</w:t>
            </w:r>
            <w:r>
              <w:rPr>
                <w:rFonts w:hint="eastAsia" w:ascii="宋体" w:hAnsi="宋体" w:cs="Calibri"/>
                <w:kern w:val="0"/>
                <w:sz w:val="22"/>
              </w:rPr>
              <w:t>月</w:t>
            </w:r>
            <w:r>
              <w:rPr>
                <w:rFonts w:hint="eastAsia" w:ascii="宋体" w:hAnsi="宋体" w:cs="Calibri"/>
                <w:kern w:val="0"/>
                <w:sz w:val="22"/>
                <w:lang w:val="en-US" w:eastAsia="zh-CN"/>
              </w:rPr>
              <w:t>30</w:t>
            </w:r>
            <w:r>
              <w:rPr>
                <w:rFonts w:hint="eastAsia" w:ascii="宋体" w:hAnsi="宋体" w:cs="Calibri"/>
                <w:kern w:val="0"/>
                <w:sz w:val="22"/>
              </w:rPr>
              <w:t>日11：30前，以书面加盖公章的形式通过E-mail或传真提交给招标人（投标联系人:贾工，电话0571-83837612；传真：0571-83837612；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2019年</w:t>
            </w:r>
            <w:r>
              <w:rPr>
                <w:rFonts w:hint="eastAsia" w:ascii="宋体" w:hAnsi="宋体" w:cs="Calibri"/>
                <w:b/>
                <w:kern w:val="0"/>
                <w:sz w:val="22"/>
                <w:lang w:val="en-US" w:eastAsia="zh-CN"/>
              </w:rPr>
              <w:t>10</w:t>
            </w:r>
            <w:r>
              <w:rPr>
                <w:rFonts w:hint="eastAsia" w:ascii="宋体" w:hAnsi="宋体" w:cs="Calibri"/>
                <w:b/>
                <w:kern w:val="0"/>
                <w:sz w:val="22"/>
              </w:rPr>
              <w:t>月</w:t>
            </w:r>
            <w:r>
              <w:rPr>
                <w:rFonts w:hint="eastAsia" w:ascii="宋体" w:hAnsi="宋体" w:cs="Calibri"/>
                <w:b/>
                <w:kern w:val="0"/>
                <w:sz w:val="22"/>
                <w:lang w:val="en-US" w:eastAsia="zh-CN"/>
              </w:rPr>
              <w:t>8</w:t>
            </w:r>
            <w:r>
              <w:rPr>
                <w:rFonts w:hint="eastAsia" w:ascii="宋体" w:hAnsi="宋体" w:cs="Calibri"/>
                <w:b/>
                <w:kern w:val="0"/>
                <w:sz w:val="22"/>
              </w:rPr>
              <w:t>日下午</w:t>
            </w:r>
            <w:r>
              <w:rPr>
                <w:rFonts w:hint="eastAsia" w:ascii="宋体" w:hAnsi="宋体" w:cs="Calibri"/>
                <w:b/>
                <w:kern w:val="0"/>
                <w:sz w:val="22"/>
                <w:lang w:val="en-US" w:eastAsia="zh-CN"/>
              </w:rPr>
              <w:t>13</w:t>
            </w:r>
            <w:r>
              <w:rPr>
                <w:rFonts w:hint="eastAsia" w:ascii="宋体" w:hAnsi="宋体" w:cs="Calibri"/>
                <w:b/>
                <w:kern w:val="0"/>
                <w:sz w:val="22"/>
              </w:rPr>
              <w:t>时</w:t>
            </w:r>
            <w:r>
              <w:rPr>
                <w:rFonts w:hint="eastAsia" w:ascii="宋体" w:hAnsi="宋体" w:cs="Calibri"/>
                <w:b/>
                <w:kern w:val="0"/>
                <w:sz w:val="22"/>
                <w:lang w:val="en-US" w:eastAsia="zh-CN"/>
              </w:rPr>
              <w:t>45</w:t>
            </w:r>
            <w:r>
              <w:rPr>
                <w:rFonts w:hint="eastAsia" w:ascii="宋体" w:hAnsi="宋体" w:cs="Calibri"/>
                <w:b/>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6" w:name="_Toc226175287"/>
            <w:bookmarkStart w:id="37"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杭州萧山国际机场管理信息系统设备维保项目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rPr>
              <w:t>2019年</w:t>
            </w:r>
            <w:r>
              <w:rPr>
                <w:rFonts w:hint="eastAsia" w:ascii="宋体" w:hAnsi="宋体" w:cs="Calibri"/>
                <w:kern w:val="0"/>
                <w:sz w:val="22"/>
                <w:u w:val="single"/>
                <w:lang w:val="en-US" w:eastAsia="zh-CN"/>
              </w:rPr>
              <w:t>10</w:t>
            </w:r>
            <w:r>
              <w:rPr>
                <w:rFonts w:hint="eastAsia" w:ascii="宋体" w:hAnsi="宋体" w:cs="Calibri"/>
                <w:kern w:val="0"/>
                <w:sz w:val="22"/>
                <w:u w:val="single"/>
              </w:rPr>
              <w:t>月</w:t>
            </w:r>
            <w:r>
              <w:rPr>
                <w:rFonts w:hint="eastAsia" w:ascii="宋体" w:hAnsi="宋体" w:cs="Calibri"/>
                <w:kern w:val="0"/>
                <w:sz w:val="22"/>
                <w:u w:val="single"/>
                <w:lang w:val="en-US" w:eastAsia="zh-CN"/>
              </w:rPr>
              <w:t>8</w:t>
            </w:r>
            <w:r>
              <w:rPr>
                <w:rFonts w:hint="eastAsia" w:ascii="宋体" w:hAnsi="宋体" w:cs="Calibri"/>
                <w:kern w:val="0"/>
                <w:sz w:val="22"/>
                <w:u w:val="single"/>
              </w:rPr>
              <w:t>日下午</w:t>
            </w:r>
            <w:r>
              <w:rPr>
                <w:rFonts w:hint="eastAsia" w:ascii="宋体" w:hAnsi="宋体" w:cs="Calibri"/>
                <w:kern w:val="0"/>
                <w:sz w:val="22"/>
                <w:u w:val="single"/>
                <w:lang w:val="en-US" w:eastAsia="zh-CN"/>
              </w:rPr>
              <w:t>13</w:t>
            </w:r>
            <w:r>
              <w:rPr>
                <w:rFonts w:hint="eastAsia" w:ascii="宋体" w:hAnsi="宋体" w:cs="Calibri"/>
                <w:kern w:val="0"/>
                <w:sz w:val="22"/>
                <w:u w:val="single"/>
              </w:rPr>
              <w:t>时</w:t>
            </w:r>
            <w:r>
              <w:rPr>
                <w:rFonts w:hint="eastAsia" w:ascii="宋体" w:hAnsi="宋体" w:cs="Calibri"/>
                <w:kern w:val="0"/>
                <w:sz w:val="22"/>
                <w:u w:val="single"/>
                <w:lang w:val="en-US" w:eastAsia="zh-CN"/>
              </w:rPr>
              <w:t>45</w:t>
            </w:r>
            <w:r>
              <w:rPr>
                <w:rFonts w:hint="eastAsia" w:ascii="宋体" w:hAnsi="宋体" w:cs="Calibri"/>
                <w:kern w:val="0"/>
                <w:sz w:val="22"/>
                <w:u w:val="single"/>
              </w:rPr>
              <w:t>分（北京时间）</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履约担保的形式：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履约担保的金额：</w:t>
            </w:r>
            <w:r>
              <w:rPr>
                <w:rFonts w:hint="eastAsia" w:ascii="宋体" w:hAnsi="宋体"/>
                <w:b/>
                <w:color w:val="0070C0"/>
                <w:sz w:val="22"/>
              </w:rPr>
              <w:t>首年合同金额的</w:t>
            </w:r>
            <w:r>
              <w:rPr>
                <w:rFonts w:ascii="宋体" w:hAnsi="宋体"/>
                <w:b/>
                <w:color w:val="0070C0"/>
                <w:sz w:val="22"/>
              </w:rPr>
              <w:t>10</w:t>
            </w:r>
            <w:r>
              <w:rPr>
                <w:rFonts w:hint="eastAsia" w:ascii="宋体" w:hAnsi="宋体"/>
                <w:b/>
                <w:color w:val="0070C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shd w:val="clear" w:color="auto" w:fill="auto"/>
            <w:vAlign w:val="center"/>
          </w:tcPr>
          <w:p>
            <w:pPr>
              <w:pStyle w:val="43"/>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ascii="宋体" w:hAnsi="宋体" w:cs="Calibri"/>
                <w:snapToGrid w:val="0"/>
                <w:kern w:val="0"/>
                <w:sz w:val="22"/>
              </w:rPr>
              <w:t>异议</w:t>
            </w:r>
            <w:r>
              <w:rPr>
                <w:rFonts w:ascii="宋体" w:hAnsi="宋体" w:cs="Calibri"/>
                <w:snapToGrid w:val="0"/>
                <w:kern w:val="0"/>
                <w:sz w:val="22"/>
              </w:rPr>
              <w:t>。</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3"/>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1067"/>
      <w:bookmarkStart w:id="39" w:name="_Toc143421656"/>
    </w:p>
    <w:p>
      <w:pPr>
        <w:autoSpaceDE w:val="0"/>
        <w:autoSpaceDN w:val="0"/>
        <w:adjustRightInd w:val="0"/>
        <w:snapToGrid w:val="0"/>
        <w:spacing w:line="360" w:lineRule="exact"/>
        <w:rPr>
          <w:rFonts w:ascii="宋体" w:hAnsi="宋体" w:cs="Calibri"/>
          <w:b/>
          <w:bCs/>
          <w:kern w:val="0"/>
          <w:sz w:val="22"/>
        </w:rPr>
      </w:pPr>
      <w:r>
        <w:rPr>
          <w:rFonts w:eastAsia="黑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38"/>
      <w:bookmarkEnd w:id="39"/>
    </w:p>
    <w:p>
      <w:pPr>
        <w:autoSpaceDE w:val="0"/>
        <w:autoSpaceDN w:val="0"/>
        <w:adjustRightInd w:val="0"/>
        <w:snapToGrid w:val="0"/>
        <w:spacing w:line="360" w:lineRule="exact"/>
        <w:rPr>
          <w:rFonts w:ascii="宋体" w:hAnsi="宋体" w:cs="Calibri"/>
          <w:b/>
          <w:bCs/>
          <w:kern w:val="0"/>
          <w:sz w:val="22"/>
        </w:rPr>
      </w:pPr>
      <w:bookmarkStart w:id="40" w:name="_Toc26216"/>
      <w:r>
        <w:rPr>
          <w:rFonts w:ascii="宋体" w:hAnsi="宋体" w:cs="Calibri"/>
          <w:b/>
          <w:bCs/>
          <w:kern w:val="0"/>
          <w:sz w:val="22"/>
        </w:rPr>
        <w:t>1.1 项目</w:t>
      </w:r>
      <w:bookmarkEnd w:id="40"/>
      <w:r>
        <w:rPr>
          <w:rFonts w:ascii="宋体" w:hAnsi="宋体" w:cs="Calibri"/>
          <w:b/>
          <w:bCs/>
          <w:kern w:val="0"/>
          <w:sz w:val="22"/>
        </w:rPr>
        <w:t>概况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实施</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41"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1"/>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2"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2"/>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3"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4"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4"/>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5"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color w:val="000000"/>
          <w:sz w:val="22"/>
        </w:rPr>
      </w:pPr>
      <w:bookmarkStart w:id="47"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7"/>
    </w:p>
    <w:p>
      <w:pPr>
        <w:adjustRightInd w:val="0"/>
        <w:snapToGrid w:val="0"/>
        <w:spacing w:line="360" w:lineRule="exact"/>
        <w:ind w:firstLine="440" w:firstLineChars="20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48"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48"/>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9"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4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50"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1" w:name="_Toc143421657"/>
      <w:bookmarkStart w:id="52" w:name="_Toc15241"/>
      <w:r>
        <w:rPr>
          <w:rFonts w:ascii="宋体" w:hAnsi="宋体" w:cs="Calibri"/>
          <w:b/>
          <w:bCs/>
          <w:kern w:val="0"/>
          <w:sz w:val="22"/>
        </w:rPr>
        <w:t>2.招标文件</w:t>
      </w:r>
      <w:bookmarkEnd w:id="51"/>
      <w:bookmarkEnd w:id="52"/>
    </w:p>
    <w:p>
      <w:pPr>
        <w:autoSpaceDE w:val="0"/>
        <w:autoSpaceDN w:val="0"/>
        <w:adjustRightInd w:val="0"/>
        <w:snapToGrid w:val="0"/>
        <w:spacing w:line="360" w:lineRule="exact"/>
        <w:rPr>
          <w:rFonts w:ascii="宋体" w:hAnsi="宋体" w:cs="Calibri"/>
          <w:b/>
          <w:bCs/>
          <w:kern w:val="0"/>
          <w:sz w:val="22"/>
        </w:rPr>
      </w:pPr>
      <w:bookmarkStart w:id="53" w:name="_Toc1426"/>
      <w:r>
        <w:rPr>
          <w:rFonts w:ascii="宋体" w:hAnsi="宋体" w:cs="Calibri"/>
          <w:b/>
          <w:bCs/>
          <w:kern w:val="0"/>
          <w:sz w:val="22"/>
        </w:rPr>
        <w:t>2.1 招标文件的组成</w:t>
      </w:r>
      <w:bookmarkEnd w:id="53"/>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本招标文件包括：</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（1）招标公告</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color w:val="000000"/>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4</w:t>
      </w:r>
      <w:r>
        <w:rPr>
          <w:rFonts w:ascii="宋体" w:hAnsi="宋体" w:cs="Calibri"/>
          <w:color w:val="000000"/>
          <w:kern w:val="0"/>
          <w:sz w:val="22"/>
        </w:rPr>
        <w:t>）合同条款</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5</w:t>
      </w:r>
      <w:r>
        <w:rPr>
          <w:rFonts w:ascii="宋体" w:hAnsi="宋体" w:cs="Calibri"/>
          <w:color w:val="000000"/>
          <w:kern w:val="0"/>
          <w:sz w:val="22"/>
        </w:rPr>
        <w:t>）评标办法及标准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6</w:t>
      </w:r>
      <w:r>
        <w:rPr>
          <w:rFonts w:ascii="宋体" w:hAnsi="宋体" w:cs="Calibri"/>
          <w:color w:val="000000"/>
          <w:kern w:val="0"/>
          <w:sz w:val="22"/>
        </w:rPr>
        <w:t>）投标文件格式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4" w:name="_Toc18230"/>
      <w:r>
        <w:rPr>
          <w:rFonts w:ascii="宋体" w:hAnsi="宋体" w:cs="Calibri"/>
          <w:b/>
          <w:bCs/>
          <w:kern w:val="0"/>
          <w:sz w:val="22"/>
        </w:rPr>
        <w:t>2.2 招标文件的澄清</w:t>
      </w:r>
      <w:bookmarkEnd w:id="54"/>
    </w:p>
    <w:p>
      <w:pPr>
        <w:adjustRightInd w:val="0"/>
        <w:snapToGrid w:val="0"/>
        <w:spacing w:line="360" w:lineRule="exact"/>
        <w:ind w:firstLine="440"/>
        <w:rPr>
          <w:rFonts w:ascii="宋体" w:hAnsi="宋体" w:cs="Calibri"/>
          <w:color w:val="000000"/>
          <w:sz w:val="22"/>
        </w:rPr>
      </w:pPr>
      <w:bookmarkStart w:id="55" w:name="_Toc18303"/>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5"/>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6" w:name="_Toc18870"/>
      <w:bookmarkStart w:id="57" w:name="_Toc143421658"/>
      <w:r>
        <w:rPr>
          <w:rFonts w:ascii="宋体" w:hAnsi="宋体" w:cs="Calibri"/>
          <w:b/>
          <w:bCs/>
          <w:kern w:val="0"/>
          <w:sz w:val="22"/>
        </w:rPr>
        <w:t>3.投标文件</w:t>
      </w:r>
      <w:bookmarkEnd w:id="56"/>
      <w:bookmarkEnd w:id="57"/>
    </w:p>
    <w:p>
      <w:pPr>
        <w:autoSpaceDE w:val="0"/>
        <w:autoSpaceDN w:val="0"/>
        <w:adjustRightInd w:val="0"/>
        <w:snapToGrid w:val="0"/>
        <w:spacing w:line="360" w:lineRule="exact"/>
        <w:rPr>
          <w:rFonts w:ascii="宋体" w:hAnsi="宋体" w:cs="Calibri"/>
          <w:b/>
          <w:bCs/>
          <w:kern w:val="0"/>
          <w:sz w:val="22"/>
        </w:rPr>
      </w:pPr>
      <w:bookmarkStart w:id="58" w:name="_Toc461"/>
      <w:r>
        <w:rPr>
          <w:rFonts w:ascii="宋体" w:hAnsi="宋体" w:cs="Calibri"/>
          <w:b/>
          <w:bCs/>
          <w:kern w:val="0"/>
          <w:sz w:val="22"/>
        </w:rPr>
        <w:t>3.1 投标文件的语言和计量单位</w:t>
      </w:r>
      <w:bookmarkEnd w:id="5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3.1.1投标文件与投标有关的所有文件均应使用中文。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3.1.3招标文件中的“天”除特别说明外，均为日历天。</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3.1.4招标文件中所指的“合同”除特别说明外，指 “</w:t>
      </w:r>
      <w:r>
        <w:rPr>
          <w:rFonts w:hint="eastAsia" w:ascii="宋体" w:hAnsi="宋体" w:cs="Calibri"/>
          <w:color w:val="000000"/>
          <w:kern w:val="0"/>
          <w:sz w:val="22"/>
        </w:rPr>
        <w:t>服务</w:t>
      </w:r>
      <w:r>
        <w:rPr>
          <w:rFonts w:ascii="宋体" w:hAnsi="宋体" w:cs="Calibri"/>
          <w:color w:val="000000"/>
          <w:kern w:val="0"/>
          <w:sz w:val="22"/>
        </w:rPr>
        <w:t>合同”。</w:t>
      </w:r>
    </w:p>
    <w:p>
      <w:pPr>
        <w:autoSpaceDE w:val="0"/>
        <w:autoSpaceDN w:val="0"/>
        <w:adjustRightInd w:val="0"/>
        <w:snapToGrid w:val="0"/>
        <w:spacing w:line="360" w:lineRule="exact"/>
        <w:rPr>
          <w:rFonts w:ascii="宋体" w:hAnsi="宋体" w:cs="Calibri"/>
          <w:b/>
          <w:bCs/>
          <w:kern w:val="0"/>
          <w:sz w:val="22"/>
        </w:rPr>
      </w:pPr>
      <w:bookmarkStart w:id="59" w:name="_Toc1411"/>
      <w:r>
        <w:rPr>
          <w:rFonts w:ascii="宋体" w:hAnsi="宋体" w:cs="Calibri"/>
          <w:b/>
          <w:bCs/>
          <w:kern w:val="0"/>
          <w:sz w:val="22"/>
        </w:rPr>
        <w:t>3.2 投标文件的组成</w:t>
      </w:r>
      <w:bookmarkEnd w:id="59"/>
    </w:p>
    <w:p>
      <w:pPr>
        <w:adjustRightInd w:val="0"/>
        <w:snapToGrid w:val="0"/>
        <w:spacing w:line="360" w:lineRule="exact"/>
        <w:ind w:firstLine="440" w:firstLineChars="200"/>
        <w:rPr>
          <w:rFonts w:ascii="宋体" w:hAnsi="宋体" w:cs="Calibri"/>
          <w:sz w:val="22"/>
        </w:rPr>
      </w:pPr>
      <w:bookmarkStart w:id="60" w:name="_Toc32225"/>
      <w:r>
        <w:rPr>
          <w:rFonts w:ascii="宋体" w:hAnsi="宋体" w:cs="Calibri"/>
          <w:sz w:val="22"/>
        </w:rPr>
        <w:t>3.2.1投标函；</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360" w:lineRule="exact"/>
        <w:ind w:firstLine="440" w:firstLineChars="20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（2）信用中国网站www.creditchina.gov.cn 、中国裁判文书网http://wenshu.court.gov.cn查询结果证材料以及主管税务部门出具的一般纳税人资格认定《税务事项通知书》。</w:t>
      </w:r>
    </w:p>
    <w:p>
      <w:pPr>
        <w:adjustRightInd w:val="0"/>
        <w:snapToGrid w:val="0"/>
        <w:spacing w:line="360" w:lineRule="exact"/>
        <w:ind w:firstLine="440" w:firstLineChars="200"/>
        <w:rPr>
          <w:rFonts w:ascii="宋体" w:hAnsi="宋体" w:cs="Calibri"/>
          <w:sz w:val="22"/>
        </w:rPr>
      </w:pPr>
      <w:r>
        <w:rPr>
          <w:rFonts w:ascii="宋体" w:hAnsi="宋体" w:cs="Calibri"/>
          <w:sz w:val="22"/>
        </w:rPr>
        <w:t>（3）有关证明投标人的企业信誉及获得各种奖励等资料；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ascii="宋体" w:hAnsi="宋体" w:cs="Calibri"/>
          <w:sz w:val="22"/>
        </w:rPr>
        <w:t>（4）投标人经济实力：包括企业注册资金、财务报告与报表中反映的财务状况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w:t>
      </w:r>
      <w:r>
        <w:rPr>
          <w:rFonts w:ascii="宋体" w:hAnsi="宋体" w:cs="Calibri"/>
          <w:sz w:val="22"/>
        </w:rPr>
        <w:t>近三年完成类似项目业绩情况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6</w:t>
      </w:r>
      <w:r>
        <w:rPr>
          <w:rFonts w:hint="eastAsia" w:ascii="宋体" w:hAnsi="宋体" w:cs="Calibri"/>
          <w:sz w:val="22"/>
        </w:rPr>
        <w:t>）招标文件投标人资格要求中提供的相关材料。</w:t>
      </w:r>
    </w:p>
    <w:p>
      <w:pPr>
        <w:adjustRightInd w:val="0"/>
        <w:snapToGrid w:val="0"/>
        <w:spacing w:line="360" w:lineRule="exact"/>
        <w:ind w:firstLine="440" w:firstLineChars="200"/>
        <w:rPr>
          <w:rFonts w:ascii="宋体" w:hAnsi="宋体" w:cs="Calibri"/>
          <w:sz w:val="22"/>
        </w:rPr>
      </w:pPr>
      <w:r>
        <w:rPr>
          <w:rFonts w:ascii="宋体" w:hAnsi="宋体" w:cs="Calibri"/>
          <w:sz w:val="22"/>
        </w:rPr>
        <w:t>3.2.6</w:t>
      </w:r>
      <w:r>
        <w:rPr>
          <w:rFonts w:hint="eastAsia" w:ascii="宋体" w:hAnsi="宋体" w:cs="Calibri"/>
          <w:sz w:val="22"/>
        </w:rPr>
        <w:t xml:space="preserve"> </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w:t>
      </w:r>
      <w:r>
        <w:rPr>
          <w:rFonts w:hint="eastAsia" w:ascii="宋体" w:hAnsi="宋体" w:cs="Calibri"/>
          <w:sz w:val="22"/>
        </w:rPr>
        <w:t>现场机构、人力、物资设备配置</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360" w:lineRule="exact"/>
        <w:ind w:firstLine="440" w:firstLineChars="200"/>
        <w:rPr>
          <w:rFonts w:ascii="宋体" w:hAnsi="宋体" w:cs="Calibri"/>
          <w:sz w:val="22"/>
        </w:rPr>
      </w:pPr>
      <w:r>
        <w:rPr>
          <w:rFonts w:ascii="宋体" w:hAnsi="宋体" w:cs="Calibri"/>
          <w:sz w:val="22"/>
        </w:rPr>
        <w:t>（5）</w:t>
      </w:r>
      <w:r>
        <w:rPr>
          <w:rFonts w:hint="eastAsia" w:ascii="宋体" w:hAnsi="宋体" w:cs="Calibri"/>
          <w:sz w:val="22"/>
        </w:rPr>
        <w:t>运行、安全、服务等相关管理方案</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（7）对特殊情况的承诺以及灾害性、突发事件的应急预案；</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8</w:t>
      </w:r>
      <w:r>
        <w:rPr>
          <w:rFonts w:ascii="宋体" w:hAnsi="宋体" w:cs="Calibri"/>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9</w:t>
      </w:r>
      <w:r>
        <w:rPr>
          <w:rFonts w:ascii="宋体" w:hAnsi="宋体" w:cs="Calibri"/>
          <w:sz w:val="22"/>
        </w:rPr>
        <w:t>）投入本项目服务的仪器、仪表、设备及交通工具汇总表</w:t>
      </w:r>
      <w:r>
        <w:rPr>
          <w:rFonts w:hint="eastAsia" w:ascii="宋体" w:hAnsi="宋体" w:cs="Calibri"/>
          <w:sz w:val="22"/>
        </w:rPr>
        <w:t>。</w:t>
      </w:r>
    </w:p>
    <w:p>
      <w:pPr>
        <w:adjustRightInd w:val="0"/>
        <w:snapToGrid w:val="0"/>
        <w:spacing w:line="360" w:lineRule="exact"/>
        <w:ind w:firstLine="440" w:firstLineChars="200"/>
        <w:rPr>
          <w:rFonts w:ascii="宋体" w:hAnsi="宋体"/>
          <w:sz w:val="22"/>
        </w:rPr>
      </w:pPr>
      <w:r>
        <w:rPr>
          <w:rFonts w:ascii="宋体" w:hAnsi="宋体" w:cs="Calibri"/>
          <w:sz w:val="22"/>
        </w:rPr>
        <w:t>3.2.7</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0"/>
    </w:p>
    <w:p>
      <w:pPr>
        <w:adjustRightInd w:val="0"/>
        <w:snapToGrid w:val="0"/>
        <w:spacing w:line="360" w:lineRule="exact"/>
        <w:ind w:firstLine="440" w:firstLineChars="200"/>
        <w:rPr>
          <w:rFonts w:ascii="宋体" w:hAnsi="宋体" w:cs="Calibri"/>
          <w:color w:val="000000"/>
          <w:kern w:val="0"/>
          <w:sz w:val="22"/>
        </w:rPr>
      </w:pPr>
      <w:bookmarkStart w:id="61" w:name="_Toc13307"/>
      <w:r>
        <w:rPr>
          <w:rFonts w:ascii="宋体" w:hAnsi="宋体" w:cs="Calibri"/>
          <w:color w:val="000000"/>
          <w:kern w:val="0"/>
          <w:sz w:val="22"/>
        </w:rPr>
        <w:t>3.2.1 投标人应按本招标文件中“投标文件格式”的要求填写相应表格。</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3.2.4投标报价的其他要求</w:t>
      </w:r>
      <w:r>
        <w:rPr>
          <w:rFonts w:hint="eastAsia" w:ascii="宋体" w:hAnsi="宋体" w:cs="Calibri"/>
          <w:color w:val="000000"/>
          <w:kern w:val="0"/>
          <w:sz w:val="22"/>
        </w:rPr>
        <w:t>：</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1"/>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2" w:name="_Toc30464"/>
      <w:r>
        <w:rPr>
          <w:rFonts w:ascii="宋体" w:hAnsi="宋体" w:cs="Calibri"/>
          <w:b/>
          <w:bCs/>
          <w:kern w:val="0"/>
          <w:sz w:val="22"/>
        </w:rPr>
        <w:t>3.5 投标保证金</w:t>
      </w:r>
      <w:bookmarkEnd w:id="62"/>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3.6.1 投标文件应按本须知第3.2款规定的内容和第</w:t>
      </w:r>
      <w:r>
        <w:rPr>
          <w:rFonts w:hint="eastAsia" w:ascii="宋体" w:hAnsi="宋体" w:cs="Calibri"/>
          <w:color w:val="000000"/>
          <w:sz w:val="22"/>
        </w:rPr>
        <w:t>六</w:t>
      </w:r>
      <w:r>
        <w:rPr>
          <w:rFonts w:ascii="宋体" w:hAnsi="宋体" w:cs="Calibri"/>
          <w:color w:val="000000"/>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 xml:space="preserve">3.6.2 </w:t>
      </w:r>
      <w:r>
        <w:rPr>
          <w:rFonts w:ascii="宋体" w:hAnsi="宋体" w:cs="Calibri"/>
          <w:color w:val="000000"/>
          <w:kern w:val="0"/>
          <w:sz w:val="22"/>
        </w:rPr>
        <w:t>投标文件应对招标文件有关</w:t>
      </w:r>
      <w:r>
        <w:rPr>
          <w:rFonts w:hint="eastAsia" w:ascii="宋体" w:hAnsi="宋体" w:cs="Calibri"/>
          <w:color w:val="000000"/>
          <w:kern w:val="0"/>
          <w:sz w:val="22"/>
        </w:rPr>
        <w:t>服务</w:t>
      </w:r>
      <w:r>
        <w:rPr>
          <w:rFonts w:ascii="宋体" w:hAnsi="宋体" w:cs="Calibri"/>
          <w:color w:val="000000"/>
          <w:kern w:val="0"/>
          <w:sz w:val="22"/>
        </w:rPr>
        <w:t>期、投标有效期、招标</w:t>
      </w:r>
      <w:r>
        <w:rPr>
          <w:rFonts w:hint="eastAsia" w:ascii="宋体" w:hAnsi="宋体" w:cs="Calibri"/>
          <w:color w:val="000000"/>
          <w:kern w:val="0"/>
          <w:sz w:val="22"/>
        </w:rPr>
        <w:t>内容</w:t>
      </w:r>
      <w:r>
        <w:rPr>
          <w:rFonts w:ascii="宋体" w:hAnsi="宋体" w:cs="Calibri"/>
          <w:color w:val="000000"/>
          <w:kern w:val="0"/>
          <w:sz w:val="22"/>
        </w:rPr>
        <w:t>等实质性内容作出响应。</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color w:val="000000"/>
          <w:kern w:val="0"/>
          <w:sz w:val="22"/>
        </w:rPr>
        <w:t>签字或盖章的具体要求见投标人须知前附表。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3.6.4投标文件正本一份， 副本份数见投标人须知前附表。正本、副本的封面上应清楚地标记</w:t>
      </w:r>
      <w:r>
        <w:rPr>
          <w:rFonts w:ascii="宋体" w:hAnsi="宋体" w:cs="Calibri"/>
          <w:b/>
          <w:bCs/>
          <w:color w:val="000000"/>
          <w:sz w:val="22"/>
        </w:rPr>
        <w:t>“正本</w:t>
      </w:r>
      <w:r>
        <w:rPr>
          <w:rFonts w:ascii="宋体" w:hAnsi="宋体" w:cs="Calibri"/>
          <w:color w:val="000000"/>
          <w:sz w:val="22"/>
        </w:rPr>
        <w:t>”或“</w:t>
      </w:r>
      <w:r>
        <w:rPr>
          <w:rFonts w:ascii="宋体" w:hAnsi="宋体" w:cs="Calibri"/>
          <w:b/>
          <w:bCs/>
          <w:color w:val="000000"/>
          <w:sz w:val="22"/>
        </w:rPr>
        <w:t>副本</w:t>
      </w:r>
      <w:r>
        <w:rPr>
          <w:rFonts w:ascii="宋体" w:hAnsi="宋体" w:cs="Calibri"/>
          <w:color w:val="000000"/>
          <w:sz w:val="22"/>
        </w:rPr>
        <w:t>”的字样。当副本和正本不一致时，以正本为准。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ascii="宋体" w:hAnsi="宋体" w:cs="Calibri"/>
          <w:b/>
          <w:bCs/>
          <w:kern w:val="0"/>
          <w:sz w:val="22"/>
        </w:rPr>
      </w:pPr>
      <w:bookmarkStart w:id="65" w:name="_Toc32652"/>
      <w:r>
        <w:rPr>
          <w:rFonts w:ascii="宋体" w:hAnsi="宋体" w:cs="Calibri"/>
          <w:b/>
          <w:bCs/>
          <w:kern w:val="0"/>
          <w:sz w:val="22"/>
        </w:rPr>
        <w:t>4.投标</w:t>
      </w:r>
      <w:bookmarkEnd w:id="64"/>
      <w:bookmarkEnd w:id="65"/>
    </w:p>
    <w:p>
      <w:pPr>
        <w:autoSpaceDE w:val="0"/>
        <w:autoSpaceDN w:val="0"/>
        <w:adjustRightInd w:val="0"/>
        <w:snapToGrid w:val="0"/>
        <w:spacing w:line="360" w:lineRule="exact"/>
        <w:rPr>
          <w:rFonts w:ascii="宋体" w:hAnsi="宋体" w:cs="Calibri"/>
          <w:b/>
          <w:bCs/>
          <w:kern w:val="0"/>
          <w:sz w:val="22"/>
        </w:rPr>
      </w:pPr>
      <w:bookmarkStart w:id="66" w:name="_Toc649"/>
      <w:r>
        <w:rPr>
          <w:rFonts w:ascii="宋体" w:hAnsi="宋体" w:cs="Calibri"/>
          <w:b/>
          <w:bCs/>
          <w:kern w:val="0"/>
          <w:sz w:val="22"/>
        </w:rPr>
        <w:t>4.1 投标文件的密封和标识</w:t>
      </w:r>
      <w:bookmarkEnd w:id="66"/>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4.1.1</w:t>
      </w:r>
      <w:r>
        <w:rPr>
          <w:rFonts w:ascii="宋体" w:hAnsi="宋体" w:cs="Calibri"/>
          <w:color w:val="000000"/>
          <w:kern w:val="0"/>
          <w:sz w:val="22"/>
        </w:rPr>
        <w:t>投标文件的正本、副本可一同</w:t>
      </w:r>
      <w:r>
        <w:rPr>
          <w:rFonts w:hint="eastAsia" w:ascii="宋体" w:hAnsi="宋体" w:cs="Calibri"/>
          <w:color w:val="000000"/>
          <w:kern w:val="0"/>
          <w:sz w:val="22"/>
        </w:rPr>
        <w:t>密封</w:t>
      </w:r>
      <w:r>
        <w:rPr>
          <w:rFonts w:ascii="宋体" w:hAnsi="宋体" w:cs="Calibri"/>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4.1.</w:t>
      </w:r>
      <w:r>
        <w:rPr>
          <w:rFonts w:hint="eastAsia" w:ascii="宋体" w:hAnsi="宋体" w:cs="Calibri"/>
          <w:color w:val="000000"/>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7" w:name="_Toc16616"/>
      <w:r>
        <w:rPr>
          <w:rFonts w:ascii="宋体" w:hAnsi="宋体" w:cs="Calibri"/>
          <w:b/>
          <w:bCs/>
          <w:kern w:val="0"/>
          <w:sz w:val="22"/>
        </w:rPr>
        <w:t xml:space="preserve">4.2 投标文件的递交 </w:t>
      </w:r>
      <w:bookmarkEnd w:id="67"/>
    </w:p>
    <w:p>
      <w:pPr>
        <w:autoSpaceDE w:val="0"/>
        <w:autoSpaceDN w:val="0"/>
        <w:adjustRightInd w:val="0"/>
        <w:snapToGrid w:val="0"/>
        <w:spacing w:line="360" w:lineRule="exact"/>
        <w:ind w:firstLine="440"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4.2.2投标人送达投标文件的地点：见投标人须知前附表。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w:t>
      </w:r>
      <w:r>
        <w:rPr>
          <w:rFonts w:hint="eastAsia" w:ascii="宋体" w:hAnsi="宋体" w:cs="Calibri"/>
          <w:color w:val="000000"/>
          <w:sz w:val="22"/>
        </w:rPr>
        <w:t>4</w:t>
      </w:r>
      <w:r>
        <w:rPr>
          <w:rFonts w:ascii="宋体" w:hAnsi="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68" w:name="_Toc26099"/>
      <w:r>
        <w:rPr>
          <w:rFonts w:ascii="宋体" w:hAnsi="宋体" w:cs="Calibri"/>
          <w:b/>
          <w:bCs/>
          <w:kern w:val="0"/>
          <w:sz w:val="22"/>
        </w:rPr>
        <w:t>4.3 投标文件的修改和撤回</w:t>
      </w:r>
      <w:bookmarkEnd w:id="6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69" w:name="_Toc29641"/>
      <w:r>
        <w:rPr>
          <w:rFonts w:ascii="宋体" w:hAnsi="宋体" w:cs="Calibri"/>
          <w:b/>
          <w:bCs/>
          <w:kern w:val="0"/>
          <w:sz w:val="22"/>
        </w:rPr>
        <w:t>5.开标</w:t>
      </w:r>
      <w:bookmarkEnd w:id="69"/>
    </w:p>
    <w:p>
      <w:pPr>
        <w:autoSpaceDE w:val="0"/>
        <w:autoSpaceDN w:val="0"/>
        <w:adjustRightInd w:val="0"/>
        <w:snapToGrid w:val="0"/>
        <w:spacing w:line="360" w:lineRule="exact"/>
        <w:rPr>
          <w:rFonts w:ascii="宋体" w:hAnsi="宋体" w:cs="Calibri"/>
          <w:b/>
          <w:bCs/>
          <w:kern w:val="0"/>
          <w:sz w:val="22"/>
        </w:rPr>
      </w:pPr>
      <w:bookmarkStart w:id="70" w:name="_Toc15123"/>
      <w:r>
        <w:rPr>
          <w:rFonts w:ascii="宋体" w:hAnsi="宋体" w:cs="Calibri"/>
          <w:b/>
          <w:bCs/>
          <w:kern w:val="0"/>
          <w:sz w:val="22"/>
        </w:rPr>
        <w:t>5.1 开标时间和地点</w:t>
      </w:r>
      <w:bookmarkEnd w:id="7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1"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1"/>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主持人按下列程序进行开标：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（1）宣布开标纪律；</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（3）宣布开标人、唱标人、记录人、监标人等有关人员姓名；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w:t>
      </w:r>
      <w:r>
        <w:rPr>
          <w:rFonts w:ascii="宋体" w:hAnsi="宋体" w:cs="Calibri"/>
          <w:color w:val="000000"/>
          <w:sz w:val="22"/>
        </w:rPr>
        <w:t>按照宣布的开标顺序当众开标，公布投标人名称、投标保证金的递交情况、投标报价、</w:t>
      </w:r>
      <w:r>
        <w:rPr>
          <w:rFonts w:hint="eastAsia" w:ascii="宋体" w:hAnsi="宋体" w:cs="Calibri"/>
          <w:color w:val="000000"/>
          <w:sz w:val="22"/>
        </w:rPr>
        <w:t>服务期</w:t>
      </w:r>
      <w:r>
        <w:rPr>
          <w:rFonts w:ascii="宋体" w:hAnsi="宋体" w:cs="Calibri"/>
          <w:color w:val="000000"/>
          <w:sz w:val="22"/>
        </w:rPr>
        <w:t>及其他内容，并记录在案；</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2" w:name="_Toc31578"/>
      <w:r>
        <w:rPr>
          <w:rFonts w:ascii="宋体" w:hAnsi="宋体" w:cs="Calibri"/>
          <w:b/>
          <w:bCs/>
          <w:kern w:val="0"/>
          <w:sz w:val="22"/>
        </w:rPr>
        <w:t>6.评标</w:t>
      </w:r>
      <w:bookmarkEnd w:id="72"/>
    </w:p>
    <w:p>
      <w:pPr>
        <w:autoSpaceDE w:val="0"/>
        <w:autoSpaceDN w:val="0"/>
        <w:adjustRightInd w:val="0"/>
        <w:snapToGrid w:val="0"/>
        <w:spacing w:line="360" w:lineRule="exact"/>
        <w:rPr>
          <w:rFonts w:ascii="宋体" w:hAnsi="宋体" w:cs="Calibri"/>
          <w:b/>
          <w:bCs/>
          <w:kern w:val="0"/>
          <w:sz w:val="22"/>
        </w:rPr>
      </w:pPr>
      <w:bookmarkStart w:id="73" w:name="_Toc10279"/>
      <w:r>
        <w:rPr>
          <w:rFonts w:ascii="宋体" w:hAnsi="宋体" w:cs="Calibri"/>
          <w:b/>
          <w:bCs/>
          <w:kern w:val="0"/>
          <w:sz w:val="22"/>
        </w:rPr>
        <w:t>6.1 评标委员会</w:t>
      </w:r>
      <w:bookmarkEnd w:id="73"/>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6.1.1</w:t>
      </w:r>
      <w:r>
        <w:rPr>
          <w:rFonts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6.1.2评标委员会成员有下列情形之一的，应当回避：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（1）招标人或投标人的主要负责人的近亲属；</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（2）项目主管部门或者行政监督部门的人员；</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4" w:name="_Toc3460"/>
      <w:r>
        <w:rPr>
          <w:rFonts w:ascii="宋体" w:hAnsi="宋体" w:cs="Calibri"/>
          <w:b/>
          <w:bCs/>
          <w:kern w:val="0"/>
          <w:sz w:val="22"/>
        </w:rPr>
        <w:t>6.2 评标原则</w:t>
      </w:r>
      <w:bookmarkEnd w:id="74"/>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5" w:name="_Toc28178"/>
      <w:r>
        <w:rPr>
          <w:rFonts w:ascii="宋体" w:hAnsi="宋体" w:cs="Calibri"/>
          <w:b/>
          <w:bCs/>
          <w:kern w:val="0"/>
          <w:sz w:val="22"/>
        </w:rPr>
        <w:t>6.3 评标</w:t>
      </w:r>
      <w:bookmarkEnd w:id="75"/>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评标委员会按照第</w:t>
      </w:r>
      <w:r>
        <w:rPr>
          <w:rFonts w:hint="eastAsia" w:ascii="宋体" w:hAnsi="宋体" w:cs="Calibri"/>
          <w:color w:val="000000"/>
          <w:kern w:val="0"/>
          <w:sz w:val="22"/>
        </w:rPr>
        <w:t>五</w:t>
      </w:r>
      <w:r>
        <w:rPr>
          <w:rFonts w:ascii="宋体" w:hAnsi="宋体" w:cs="Calibri"/>
          <w:color w:val="000000"/>
          <w:kern w:val="0"/>
          <w:sz w:val="22"/>
        </w:rPr>
        <w:t>章“评标方法及标准”对投标文件进行评审。第</w:t>
      </w:r>
      <w:r>
        <w:rPr>
          <w:rFonts w:hint="eastAsia" w:ascii="宋体" w:hAnsi="宋体" w:cs="Calibri"/>
          <w:color w:val="000000"/>
          <w:kern w:val="0"/>
          <w:sz w:val="22"/>
        </w:rPr>
        <w:t>五</w:t>
      </w:r>
      <w:r>
        <w:rPr>
          <w:rFonts w:ascii="宋体" w:hAnsi="宋体" w:cs="Calibri"/>
          <w:color w:val="000000"/>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6" w:name="_Toc24237"/>
      <w:r>
        <w:rPr>
          <w:rFonts w:ascii="宋体" w:hAnsi="宋体" w:cs="Calibri"/>
          <w:b/>
          <w:bCs/>
          <w:kern w:val="0"/>
          <w:sz w:val="22"/>
        </w:rPr>
        <w:t>7.合同授予</w:t>
      </w:r>
      <w:bookmarkEnd w:id="76"/>
    </w:p>
    <w:p>
      <w:pPr>
        <w:autoSpaceDE w:val="0"/>
        <w:autoSpaceDN w:val="0"/>
        <w:adjustRightInd w:val="0"/>
        <w:snapToGrid w:val="0"/>
        <w:spacing w:line="360" w:lineRule="exact"/>
        <w:rPr>
          <w:rFonts w:ascii="宋体" w:hAnsi="宋体" w:cs="Calibri"/>
          <w:b/>
          <w:bCs/>
          <w:kern w:val="0"/>
          <w:sz w:val="22"/>
        </w:rPr>
      </w:pPr>
      <w:bookmarkStart w:id="77" w:name="_Toc18809"/>
      <w:r>
        <w:rPr>
          <w:rFonts w:ascii="宋体" w:hAnsi="宋体" w:cs="Calibri"/>
          <w:b/>
          <w:bCs/>
          <w:kern w:val="0"/>
          <w:sz w:val="22"/>
        </w:rPr>
        <w:t>7.1 定标方式</w:t>
      </w:r>
      <w:bookmarkEnd w:id="77"/>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78" w:name="_Toc14573"/>
      <w:r>
        <w:rPr>
          <w:rFonts w:ascii="宋体" w:hAnsi="宋体" w:cs="Calibri"/>
          <w:b/>
          <w:bCs/>
          <w:kern w:val="0"/>
          <w:sz w:val="22"/>
        </w:rPr>
        <w:t>7.2 中标通知</w:t>
      </w:r>
      <w:bookmarkEnd w:id="7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79" w:name="_Toc27132"/>
      <w:bookmarkStart w:id="80" w:name="_Toc27581"/>
      <w:r>
        <w:rPr>
          <w:rFonts w:ascii="宋体" w:hAnsi="宋体" w:cs="Calibri"/>
          <w:b/>
          <w:bCs/>
          <w:kern w:val="0"/>
          <w:sz w:val="22"/>
        </w:rPr>
        <w:t>7.3 履约</w:t>
      </w:r>
      <w:r>
        <w:rPr>
          <w:rFonts w:hint="eastAsia" w:ascii="宋体" w:hAnsi="宋体" w:cs="Calibri"/>
          <w:b/>
          <w:bCs/>
          <w:kern w:val="0"/>
          <w:sz w:val="22"/>
        </w:rPr>
        <w:t>保证金</w:t>
      </w:r>
      <w:bookmarkEnd w:id="79"/>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80"/>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7</w:t>
      </w:r>
      <w:bookmarkStart w:id="81" w:name="_Toc219809801"/>
      <w:bookmarkStart w:id="82" w:name="_Toc220123241"/>
      <w:bookmarkStart w:id="83" w:name="_Toc11806"/>
      <w:r>
        <w:rPr>
          <w:rFonts w:ascii="宋体" w:hAnsi="宋体" w:cs="Calibri"/>
          <w:color w:val="000000"/>
          <w:kern w:val="0"/>
          <w:sz w:val="22"/>
        </w:rPr>
        <w:t>.4.1招标人和中标人应当自中标通知书发出之日起30个工作日内订立书面合同（合同条款按第</w:t>
      </w:r>
      <w:r>
        <w:rPr>
          <w:rFonts w:hint="eastAsia" w:ascii="宋体" w:hAnsi="宋体" w:cs="Calibri"/>
          <w:color w:val="000000"/>
          <w:kern w:val="0"/>
          <w:sz w:val="22"/>
        </w:rPr>
        <w:t>四</w:t>
      </w:r>
      <w:r>
        <w:rPr>
          <w:rFonts w:ascii="宋体" w:hAnsi="宋体" w:cs="Calibri"/>
          <w:color w:val="000000"/>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1"/>
      <w:bookmarkEnd w:id="82"/>
      <w:bookmarkEnd w:id="83"/>
    </w:p>
    <w:p>
      <w:pPr>
        <w:autoSpaceDE w:val="0"/>
        <w:autoSpaceDN w:val="0"/>
        <w:adjustRightInd w:val="0"/>
        <w:snapToGrid w:val="0"/>
        <w:spacing w:line="360" w:lineRule="exact"/>
        <w:rPr>
          <w:rFonts w:ascii="宋体" w:hAnsi="宋体" w:cs="Calibri"/>
          <w:b/>
          <w:bCs/>
          <w:kern w:val="0"/>
          <w:sz w:val="22"/>
        </w:rPr>
      </w:pPr>
      <w:bookmarkStart w:id="84" w:name="_Toc219809802"/>
      <w:bookmarkStart w:id="85" w:name="_Toc220123242"/>
      <w:bookmarkStart w:id="86" w:name="_Toc15553"/>
      <w:r>
        <w:rPr>
          <w:rFonts w:ascii="宋体" w:hAnsi="宋体" w:cs="Calibri"/>
          <w:b/>
          <w:bCs/>
          <w:kern w:val="0"/>
          <w:sz w:val="22"/>
        </w:rPr>
        <w:t>8.1 重新招标</w:t>
      </w:r>
      <w:bookmarkEnd w:id="84"/>
      <w:bookmarkEnd w:id="85"/>
      <w:bookmarkEnd w:id="8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有下列情形之一的，招标人将重新招标；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（1）投标截止时间止，投标人少于3个的；</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w:t>
      </w:r>
      <w:r>
        <w:rPr>
          <w:rFonts w:hint="eastAsia" w:ascii="宋体" w:hAnsi="宋体" w:cs="Calibri"/>
          <w:color w:val="000000"/>
          <w:kern w:val="0"/>
          <w:sz w:val="22"/>
        </w:rPr>
        <w:t>3</w:t>
      </w:r>
      <w:r>
        <w:rPr>
          <w:rFonts w:ascii="宋体" w:hAnsi="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7" w:name="_Toc219809803"/>
      <w:bookmarkStart w:id="88" w:name="_Toc18806"/>
      <w:bookmarkStart w:id="89" w:name="_Toc220123243"/>
      <w:r>
        <w:rPr>
          <w:rFonts w:ascii="宋体" w:hAnsi="宋体" w:cs="Calibri"/>
          <w:b/>
          <w:bCs/>
          <w:kern w:val="0"/>
          <w:sz w:val="22"/>
        </w:rPr>
        <w:t>8.2 不再招标</w:t>
      </w:r>
      <w:bookmarkEnd w:id="87"/>
      <w:bookmarkEnd w:id="88"/>
      <w:bookmarkEnd w:id="8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0" w:name="_Toc220123244"/>
      <w:bookmarkStart w:id="91" w:name="_Toc219809804"/>
      <w:bookmarkStart w:id="92" w:name="_Toc215941254"/>
      <w:bookmarkStart w:id="93" w:name="_Toc2986"/>
      <w:r>
        <w:rPr>
          <w:rFonts w:ascii="宋体" w:hAnsi="宋体" w:cs="Calibri"/>
          <w:b/>
          <w:bCs/>
          <w:kern w:val="0"/>
          <w:sz w:val="22"/>
        </w:rPr>
        <w:t>9.纪律和监督</w:t>
      </w:r>
      <w:bookmarkEnd w:id="90"/>
      <w:bookmarkEnd w:id="91"/>
      <w:bookmarkEnd w:id="92"/>
      <w:bookmarkEnd w:id="93"/>
    </w:p>
    <w:p>
      <w:pPr>
        <w:autoSpaceDE w:val="0"/>
        <w:autoSpaceDN w:val="0"/>
        <w:adjustRightInd w:val="0"/>
        <w:snapToGrid w:val="0"/>
        <w:spacing w:line="360" w:lineRule="exact"/>
        <w:rPr>
          <w:rFonts w:ascii="宋体" w:hAnsi="宋体" w:cs="Calibri"/>
          <w:b/>
          <w:bCs/>
          <w:kern w:val="0"/>
          <w:sz w:val="22"/>
        </w:rPr>
      </w:pPr>
      <w:bookmarkStart w:id="94" w:name="_Toc219809805"/>
      <w:bookmarkStart w:id="95" w:name="_Toc220123245"/>
      <w:bookmarkStart w:id="96" w:name="_Toc5509"/>
      <w:r>
        <w:rPr>
          <w:rFonts w:ascii="宋体" w:hAnsi="宋体" w:cs="Calibri"/>
          <w:b/>
          <w:bCs/>
          <w:kern w:val="0"/>
          <w:sz w:val="22"/>
        </w:rPr>
        <w:t>9.1 对招标人的纪律要求</w:t>
      </w:r>
      <w:bookmarkEnd w:id="94"/>
      <w:bookmarkEnd w:id="95"/>
      <w:bookmarkEnd w:id="9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7" w:name="_Toc219809806"/>
      <w:bookmarkStart w:id="98" w:name="_Toc220123246"/>
      <w:bookmarkStart w:id="99" w:name="_Toc10820"/>
      <w:r>
        <w:rPr>
          <w:rFonts w:ascii="宋体" w:hAnsi="宋体" w:cs="Calibri"/>
          <w:b/>
          <w:bCs/>
          <w:kern w:val="0"/>
          <w:sz w:val="22"/>
        </w:rPr>
        <w:t>9.2 对投标人的纪律要求</w:t>
      </w:r>
      <w:bookmarkEnd w:id="97"/>
      <w:bookmarkEnd w:id="98"/>
      <w:bookmarkEnd w:id="9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100" w:name="_Toc10756"/>
      <w:bookmarkStart w:id="101" w:name="_Toc220123247"/>
      <w:bookmarkStart w:id="102" w:name="_Toc219809807"/>
      <w:r>
        <w:rPr>
          <w:rFonts w:ascii="宋体" w:hAnsi="宋体" w:cs="Calibri"/>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3" w:name="_Toc12792"/>
      <w:bookmarkStart w:id="104" w:name="_Toc220123248"/>
      <w:bookmarkStart w:id="105" w:name="_Toc219809808"/>
      <w:r>
        <w:rPr>
          <w:rFonts w:ascii="宋体" w:hAnsi="宋体" w:cs="Calibri"/>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6" w:name="_Toc239"/>
      <w:bookmarkStart w:id="107" w:name="_Toc220123249"/>
      <w:bookmarkStart w:id="108" w:name="_Toc219809809"/>
      <w:r>
        <w:rPr>
          <w:rFonts w:ascii="宋体" w:hAnsi="宋体" w:cs="Calibri"/>
          <w:b/>
          <w:bCs/>
          <w:kern w:val="0"/>
          <w:sz w:val="22"/>
        </w:rPr>
        <w:t>9.5 投诉</w:t>
      </w:r>
      <w:bookmarkEnd w:id="106"/>
      <w:bookmarkEnd w:id="107"/>
      <w:bookmarkEnd w:id="108"/>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09" w:name="_Toc10817"/>
      <w:r>
        <w:rPr>
          <w:rFonts w:ascii="宋体" w:hAnsi="宋体" w:cs="Calibri"/>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ascii="宋体" w:hAnsi="宋体" w:cs="Calibri"/>
          <w:color w:val="000000"/>
          <w:sz w:val="22"/>
        </w:rPr>
      </w:pPr>
      <w:r>
        <w:rPr>
          <w:rFonts w:ascii="宋体" w:hAnsi="宋体" w:cs="Calibri"/>
          <w:color w:val="000000"/>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Calibri" w:hAnsi="Calibri" w:eastAsia="黑体" w:cs="Calibri"/>
          <w:kern w:val="0"/>
          <w:sz w:val="32"/>
        </w:rPr>
      </w:pPr>
      <w:bookmarkStart w:id="110" w:name="_Toc223327527"/>
      <w:bookmarkStart w:id="111" w:name="_Toc213036227"/>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r>
        <w:rPr>
          <w:rFonts w:hint="eastAsia" w:ascii="Calibri" w:hAnsi="Calibri" w:eastAsia="黑体" w:cs="Calibri"/>
          <w:kern w:val="0"/>
          <w:sz w:val="32"/>
        </w:rPr>
        <w:t>服务技术标准及要求</w:t>
      </w:r>
      <w:bookmarkEnd w:id="112"/>
    </w:p>
    <w:p>
      <w:pPr>
        <w:pStyle w:val="135"/>
        <w:spacing w:line="276" w:lineRule="auto"/>
        <w:ind w:firstLine="442"/>
        <w:rPr>
          <w:rFonts w:ascii="宋体" w:hAnsi="宋体"/>
          <w:b/>
          <w:bCs/>
          <w:kern w:val="0"/>
          <w:sz w:val="22"/>
          <w:szCs w:val="22"/>
        </w:rPr>
      </w:pPr>
      <w:r>
        <w:rPr>
          <w:rFonts w:hint="eastAsia" w:ascii="宋体" w:hAnsi="宋体"/>
          <w:b/>
          <w:bCs/>
          <w:kern w:val="0"/>
          <w:sz w:val="22"/>
          <w:szCs w:val="22"/>
        </w:rPr>
        <w:t>一、项目内容</w:t>
      </w:r>
    </w:p>
    <w:p>
      <w:pPr>
        <w:adjustRightInd w:val="0"/>
        <w:snapToGrid w:val="0"/>
        <w:ind w:firstLine="440" w:firstLineChars="200"/>
        <w:jc w:val="left"/>
        <w:rPr>
          <w:rFonts w:ascii="宋体" w:hAnsi="宋体"/>
          <w:color w:val="000000"/>
          <w:kern w:val="0"/>
          <w:szCs w:val="21"/>
        </w:rPr>
      </w:pPr>
      <w:r>
        <w:rPr>
          <w:rFonts w:hint="eastAsia" w:ascii="宋体" w:hAnsi="宋体" w:cs="Calibri"/>
          <w:sz w:val="22"/>
        </w:rPr>
        <w:t>中标人负责以下设备的维保，以保证设备的安全、高效、稳定地运行。</w:t>
      </w:r>
    </w:p>
    <w:tbl>
      <w:tblPr>
        <w:tblStyle w:val="53"/>
        <w:tblW w:w="921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5"/>
        <w:gridCol w:w="1794"/>
        <w:gridCol w:w="2241"/>
        <w:gridCol w:w="765"/>
        <w:gridCol w:w="900"/>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5" w:hRule="atLeast"/>
        </w:trPr>
        <w:tc>
          <w:tcPr>
            <w:tcW w:w="855" w:type="dxa"/>
            <w:tcMar>
              <w:top w:w="60" w:type="dxa"/>
              <w:left w:w="60" w:type="dxa"/>
              <w:bottom w:w="60" w:type="dxa"/>
              <w:right w:w="60" w:type="dxa"/>
            </w:tcMar>
          </w:tcPr>
          <w:p>
            <w:pPr>
              <w:widowControl/>
              <w:spacing w:line="360" w:lineRule="auto"/>
              <w:jc w:val="left"/>
              <w:rPr>
                <w:rFonts w:ascii="宋体" w:hAnsi="宋体"/>
                <w:b/>
                <w:bCs/>
                <w:kern w:val="0"/>
                <w:szCs w:val="21"/>
              </w:rPr>
            </w:pPr>
            <w:r>
              <w:rPr>
                <w:rFonts w:hint="eastAsia" w:ascii="宋体" w:hAnsi="宋体"/>
                <w:b/>
                <w:bCs/>
                <w:kern w:val="0"/>
                <w:szCs w:val="21"/>
              </w:rPr>
              <w:t>序号</w:t>
            </w:r>
          </w:p>
        </w:tc>
        <w:tc>
          <w:tcPr>
            <w:tcW w:w="1794" w:type="dxa"/>
            <w:tcMar>
              <w:top w:w="60" w:type="dxa"/>
              <w:left w:w="60" w:type="dxa"/>
              <w:bottom w:w="60" w:type="dxa"/>
              <w:right w:w="60" w:type="dxa"/>
            </w:tcMar>
          </w:tcPr>
          <w:p>
            <w:pPr>
              <w:widowControl/>
              <w:spacing w:line="360" w:lineRule="auto"/>
              <w:jc w:val="left"/>
              <w:rPr>
                <w:rFonts w:ascii="宋体" w:hAnsi="宋体"/>
                <w:b/>
                <w:bCs/>
                <w:kern w:val="0"/>
                <w:szCs w:val="21"/>
              </w:rPr>
            </w:pPr>
            <w:r>
              <w:rPr>
                <w:rFonts w:hint="eastAsia" w:ascii="宋体" w:hAnsi="宋体"/>
                <w:b/>
                <w:bCs/>
                <w:kern w:val="0"/>
                <w:szCs w:val="21"/>
              </w:rPr>
              <w:t>型号</w:t>
            </w:r>
          </w:p>
        </w:tc>
        <w:tc>
          <w:tcPr>
            <w:tcW w:w="2241" w:type="dxa"/>
            <w:tcMar>
              <w:top w:w="60" w:type="dxa"/>
              <w:left w:w="60" w:type="dxa"/>
              <w:bottom w:w="60" w:type="dxa"/>
              <w:right w:w="60" w:type="dxa"/>
            </w:tcMar>
          </w:tcPr>
          <w:p>
            <w:pPr>
              <w:widowControl/>
              <w:spacing w:line="360" w:lineRule="auto"/>
              <w:jc w:val="left"/>
              <w:rPr>
                <w:rFonts w:ascii="宋体" w:hAnsi="宋体"/>
                <w:b/>
                <w:bCs/>
                <w:kern w:val="0"/>
                <w:szCs w:val="21"/>
              </w:rPr>
            </w:pPr>
            <w:r>
              <w:rPr>
                <w:rFonts w:hint="eastAsia" w:ascii="宋体" w:hAnsi="宋体"/>
                <w:b/>
                <w:bCs/>
                <w:kern w:val="0"/>
                <w:szCs w:val="21"/>
              </w:rPr>
              <w:t>配置</w:t>
            </w:r>
          </w:p>
        </w:tc>
        <w:tc>
          <w:tcPr>
            <w:tcW w:w="765" w:type="dxa"/>
            <w:tcMar>
              <w:top w:w="60" w:type="dxa"/>
              <w:left w:w="60" w:type="dxa"/>
              <w:bottom w:w="60" w:type="dxa"/>
              <w:right w:w="60" w:type="dxa"/>
            </w:tcMar>
          </w:tcPr>
          <w:p>
            <w:pPr>
              <w:widowControl/>
              <w:spacing w:line="360" w:lineRule="auto"/>
              <w:jc w:val="center"/>
              <w:rPr>
                <w:rFonts w:ascii="宋体" w:hAnsi="宋体"/>
                <w:b/>
                <w:bCs/>
                <w:kern w:val="0"/>
                <w:szCs w:val="21"/>
              </w:rPr>
            </w:pPr>
            <w:r>
              <w:rPr>
                <w:rFonts w:hint="eastAsia" w:ascii="宋体" w:hAnsi="宋体"/>
                <w:b/>
                <w:bCs/>
                <w:kern w:val="0"/>
                <w:szCs w:val="21"/>
              </w:rPr>
              <w:t>单位</w:t>
            </w:r>
          </w:p>
        </w:tc>
        <w:tc>
          <w:tcPr>
            <w:tcW w:w="900" w:type="dxa"/>
            <w:tcMar>
              <w:top w:w="60" w:type="dxa"/>
              <w:left w:w="60" w:type="dxa"/>
              <w:bottom w:w="60" w:type="dxa"/>
              <w:right w:w="60" w:type="dxa"/>
            </w:tcMar>
          </w:tcPr>
          <w:p>
            <w:pPr>
              <w:widowControl/>
              <w:spacing w:line="360" w:lineRule="auto"/>
              <w:jc w:val="center"/>
              <w:rPr>
                <w:rFonts w:ascii="宋体" w:hAnsi="宋体"/>
                <w:b/>
                <w:bCs/>
                <w:kern w:val="0"/>
                <w:szCs w:val="21"/>
              </w:rPr>
            </w:pPr>
            <w:r>
              <w:rPr>
                <w:rFonts w:hint="eastAsia" w:ascii="宋体" w:hAnsi="宋体"/>
                <w:b/>
                <w:bCs/>
                <w:kern w:val="0"/>
                <w:szCs w:val="21"/>
              </w:rPr>
              <w:t>数量</w:t>
            </w:r>
          </w:p>
        </w:tc>
        <w:tc>
          <w:tcPr>
            <w:tcW w:w="2655" w:type="dxa"/>
            <w:tcMar>
              <w:top w:w="60" w:type="dxa"/>
              <w:left w:w="60" w:type="dxa"/>
              <w:bottom w:w="60" w:type="dxa"/>
              <w:right w:w="60" w:type="dxa"/>
            </w:tcMar>
          </w:tcPr>
          <w:p>
            <w:pPr>
              <w:widowControl/>
              <w:spacing w:line="360" w:lineRule="auto"/>
              <w:jc w:val="center"/>
              <w:rPr>
                <w:rFonts w:ascii="宋体" w:hAnsi="宋体"/>
                <w:b/>
                <w:bCs/>
                <w:kern w:val="0"/>
                <w:szCs w:val="21"/>
              </w:rPr>
            </w:pPr>
            <w:r>
              <w:rPr>
                <w:rFonts w:hint="eastAsia" w:ascii="宋体" w:hAnsi="宋体"/>
                <w:b/>
                <w:bCs/>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8" w:hRule="atLeast"/>
        </w:trPr>
        <w:tc>
          <w:tcPr>
            <w:tcW w:w="855" w:type="dxa"/>
            <w:tcMar>
              <w:top w:w="60" w:type="dxa"/>
              <w:left w:w="60" w:type="dxa"/>
              <w:bottom w:w="60" w:type="dxa"/>
              <w:right w:w="60" w:type="dxa"/>
            </w:tcMar>
          </w:tcPr>
          <w:p>
            <w:pPr>
              <w:widowControl/>
              <w:spacing w:line="360" w:lineRule="auto"/>
              <w:jc w:val="left"/>
              <w:rPr>
                <w:rFonts w:ascii="宋体" w:hAnsi="宋体"/>
                <w:kern w:val="0"/>
                <w:szCs w:val="21"/>
              </w:rPr>
            </w:pPr>
            <w:r>
              <w:rPr>
                <w:rFonts w:hint="eastAsia" w:ascii="宋体" w:hAnsi="宋体"/>
                <w:kern w:val="0"/>
                <w:szCs w:val="21"/>
              </w:rPr>
              <w:t>1</w:t>
            </w:r>
          </w:p>
        </w:tc>
        <w:tc>
          <w:tcPr>
            <w:tcW w:w="1794" w:type="dxa"/>
            <w:tcMar>
              <w:top w:w="60" w:type="dxa"/>
              <w:left w:w="60" w:type="dxa"/>
              <w:bottom w:w="60" w:type="dxa"/>
              <w:right w:w="60" w:type="dxa"/>
            </w:tcMar>
          </w:tcPr>
          <w:p>
            <w:pPr>
              <w:widowControl/>
              <w:spacing w:line="360" w:lineRule="auto"/>
              <w:jc w:val="left"/>
              <w:rPr>
                <w:rFonts w:ascii="宋体" w:hAnsi="宋体"/>
                <w:kern w:val="0"/>
                <w:szCs w:val="21"/>
              </w:rPr>
            </w:pPr>
            <w:r>
              <w:rPr>
                <w:rFonts w:ascii="宋体" w:hAnsi="宋体"/>
                <w:kern w:val="0"/>
                <w:szCs w:val="21"/>
              </w:rPr>
              <w:t>IBM</w:t>
            </w:r>
            <w:r>
              <w:rPr>
                <w:rFonts w:hint="eastAsia" w:ascii="宋体" w:hAnsi="宋体"/>
                <w:kern w:val="0"/>
                <w:szCs w:val="21"/>
              </w:rPr>
              <w:t xml:space="preserve"> storwize</w:t>
            </w:r>
            <w:r>
              <w:rPr>
                <w:rFonts w:ascii="宋体" w:hAnsi="宋体"/>
                <w:kern w:val="0"/>
                <w:szCs w:val="21"/>
              </w:rPr>
              <w:t xml:space="preserve"> V3700</w:t>
            </w:r>
          </w:p>
        </w:tc>
        <w:tc>
          <w:tcPr>
            <w:tcW w:w="2241" w:type="dxa"/>
            <w:tcMar>
              <w:top w:w="60" w:type="dxa"/>
              <w:left w:w="60" w:type="dxa"/>
              <w:bottom w:w="60" w:type="dxa"/>
              <w:right w:w="60" w:type="dxa"/>
            </w:tcMar>
          </w:tcPr>
          <w:p>
            <w:pPr>
              <w:widowControl/>
              <w:spacing w:line="360" w:lineRule="auto"/>
              <w:jc w:val="left"/>
              <w:rPr>
                <w:rFonts w:ascii="宋体" w:hAnsi="宋体"/>
                <w:kern w:val="0"/>
                <w:szCs w:val="21"/>
              </w:rPr>
            </w:pPr>
            <w:r>
              <w:rPr>
                <w:rFonts w:ascii="宋体" w:hAnsi="宋体"/>
                <w:kern w:val="0"/>
                <w:szCs w:val="21"/>
              </w:rPr>
              <w:t>5*300G</w:t>
            </w:r>
            <w:r>
              <w:rPr>
                <w:rFonts w:hint="eastAsia" w:ascii="宋体" w:hAnsi="宋体"/>
                <w:kern w:val="0"/>
                <w:szCs w:val="21"/>
              </w:rPr>
              <w:t>硬盘,</w:t>
            </w:r>
            <w:r>
              <w:rPr>
                <w:rFonts w:ascii="宋体" w:hAnsi="宋体"/>
                <w:kern w:val="0"/>
                <w:szCs w:val="21"/>
              </w:rPr>
              <w:t>1*</w:t>
            </w:r>
            <w:r>
              <w:rPr>
                <w:rFonts w:hint="eastAsia" w:ascii="宋体" w:hAnsi="宋体"/>
                <w:kern w:val="0"/>
                <w:szCs w:val="21"/>
              </w:rPr>
              <w:t>200G SSD</w:t>
            </w:r>
          </w:p>
        </w:tc>
        <w:tc>
          <w:tcPr>
            <w:tcW w:w="765" w:type="dxa"/>
            <w:tcMar>
              <w:top w:w="60" w:type="dxa"/>
              <w:left w:w="60" w:type="dxa"/>
              <w:bottom w:w="60" w:type="dxa"/>
              <w:right w:w="60" w:type="dxa"/>
            </w:tcMar>
          </w:tcPr>
          <w:p>
            <w:pPr>
              <w:widowControl/>
              <w:spacing w:line="360" w:lineRule="auto"/>
              <w:jc w:val="center"/>
              <w:rPr>
                <w:rFonts w:ascii="宋体" w:hAnsi="宋体"/>
                <w:kern w:val="0"/>
                <w:szCs w:val="21"/>
              </w:rPr>
            </w:pPr>
            <w:r>
              <w:rPr>
                <w:rFonts w:hint="eastAsia" w:ascii="宋体" w:hAnsi="宋体"/>
                <w:kern w:val="0"/>
                <w:szCs w:val="21"/>
              </w:rPr>
              <w:t>台</w:t>
            </w:r>
          </w:p>
        </w:tc>
        <w:tc>
          <w:tcPr>
            <w:tcW w:w="900" w:type="dxa"/>
            <w:tcMar>
              <w:top w:w="60" w:type="dxa"/>
              <w:left w:w="60" w:type="dxa"/>
              <w:bottom w:w="60" w:type="dxa"/>
              <w:right w:w="60" w:type="dxa"/>
            </w:tcMar>
          </w:tcPr>
          <w:p>
            <w:pPr>
              <w:widowControl/>
              <w:spacing w:line="360" w:lineRule="auto"/>
              <w:jc w:val="center"/>
              <w:rPr>
                <w:rFonts w:ascii="宋体" w:hAnsi="宋体"/>
                <w:kern w:val="0"/>
                <w:szCs w:val="21"/>
              </w:rPr>
            </w:pPr>
            <w:r>
              <w:rPr>
                <w:rFonts w:ascii="宋体" w:hAnsi="宋体"/>
                <w:kern w:val="0"/>
                <w:szCs w:val="21"/>
              </w:rPr>
              <w:t>1</w:t>
            </w:r>
          </w:p>
        </w:tc>
        <w:tc>
          <w:tcPr>
            <w:tcW w:w="2655" w:type="dxa"/>
            <w:tcMar>
              <w:top w:w="60" w:type="dxa"/>
              <w:left w:w="60" w:type="dxa"/>
              <w:bottom w:w="60" w:type="dxa"/>
              <w:right w:w="60" w:type="dxa"/>
            </w:tcMar>
          </w:tcPr>
          <w:p>
            <w:pPr>
              <w:widowControl/>
              <w:spacing w:line="360" w:lineRule="auto"/>
              <w:jc w:val="left"/>
              <w:rPr>
                <w:rFonts w:ascii="宋体" w:hAnsi="宋体"/>
                <w:kern w:val="0"/>
                <w:szCs w:val="21"/>
              </w:rPr>
            </w:pPr>
            <w:r>
              <w:rPr>
                <w:rFonts w:hint="eastAsia" w:ascii="宋体" w:hAnsi="宋体"/>
                <w:kern w:val="0"/>
                <w:szCs w:val="21"/>
              </w:rPr>
              <w:t>设备管理系统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2" w:hRule="atLeast"/>
        </w:trPr>
        <w:tc>
          <w:tcPr>
            <w:tcW w:w="855" w:type="dxa"/>
            <w:tcMar>
              <w:top w:w="60" w:type="dxa"/>
              <w:left w:w="60" w:type="dxa"/>
              <w:bottom w:w="60" w:type="dxa"/>
              <w:right w:w="60" w:type="dxa"/>
            </w:tcMar>
          </w:tcPr>
          <w:p>
            <w:pPr>
              <w:widowControl/>
              <w:spacing w:line="360" w:lineRule="auto"/>
              <w:jc w:val="left"/>
              <w:rPr>
                <w:rFonts w:ascii="宋体" w:hAnsi="宋体"/>
                <w:kern w:val="0"/>
                <w:szCs w:val="21"/>
              </w:rPr>
            </w:pPr>
            <w:r>
              <w:rPr>
                <w:rFonts w:hint="eastAsia" w:ascii="宋体" w:hAnsi="宋体"/>
                <w:kern w:val="0"/>
                <w:szCs w:val="21"/>
              </w:rPr>
              <w:t>2</w:t>
            </w:r>
          </w:p>
        </w:tc>
        <w:tc>
          <w:tcPr>
            <w:tcW w:w="1794" w:type="dxa"/>
            <w:tcMar>
              <w:top w:w="60" w:type="dxa"/>
              <w:left w:w="60" w:type="dxa"/>
              <w:bottom w:w="60" w:type="dxa"/>
              <w:right w:w="60" w:type="dxa"/>
            </w:tcMar>
          </w:tcPr>
          <w:p>
            <w:pPr>
              <w:widowControl/>
              <w:spacing w:line="360" w:lineRule="auto"/>
              <w:jc w:val="left"/>
              <w:rPr>
                <w:rFonts w:ascii="宋体" w:hAnsi="宋体"/>
                <w:kern w:val="0"/>
                <w:szCs w:val="21"/>
              </w:rPr>
            </w:pPr>
            <w:r>
              <w:rPr>
                <w:rFonts w:ascii="宋体" w:hAnsi="宋体"/>
                <w:kern w:val="0"/>
                <w:szCs w:val="21"/>
              </w:rPr>
              <w:t>EMC VNX5300</w:t>
            </w:r>
          </w:p>
        </w:tc>
        <w:tc>
          <w:tcPr>
            <w:tcW w:w="2241" w:type="dxa"/>
            <w:tcMar>
              <w:top w:w="60" w:type="dxa"/>
              <w:left w:w="60" w:type="dxa"/>
              <w:bottom w:w="60" w:type="dxa"/>
              <w:right w:w="60" w:type="dxa"/>
            </w:tcMar>
          </w:tcPr>
          <w:p>
            <w:pPr>
              <w:widowControl/>
              <w:spacing w:line="360" w:lineRule="auto"/>
              <w:jc w:val="left"/>
              <w:rPr>
                <w:rFonts w:ascii="宋体" w:hAnsi="宋体"/>
                <w:kern w:val="0"/>
                <w:szCs w:val="21"/>
              </w:rPr>
            </w:pPr>
            <w:r>
              <w:rPr>
                <w:rFonts w:ascii="宋体" w:hAnsi="宋体"/>
                <w:kern w:val="0"/>
                <w:szCs w:val="21"/>
              </w:rPr>
              <w:t>16GB</w:t>
            </w:r>
            <w:r>
              <w:rPr>
                <w:rFonts w:hint="eastAsia" w:ascii="宋体" w:hAnsi="宋体"/>
                <w:kern w:val="0"/>
                <w:szCs w:val="21"/>
              </w:rPr>
              <w:t xml:space="preserve"> </w:t>
            </w:r>
            <w:r>
              <w:rPr>
                <w:rFonts w:ascii="宋体" w:hAnsi="宋体"/>
                <w:kern w:val="0"/>
                <w:szCs w:val="21"/>
              </w:rPr>
              <w:t>cache,4*8GB,FC,3*100GB SSD,8*600GB 15K SAS</w:t>
            </w:r>
          </w:p>
        </w:tc>
        <w:tc>
          <w:tcPr>
            <w:tcW w:w="765" w:type="dxa"/>
            <w:tcMar>
              <w:top w:w="60" w:type="dxa"/>
              <w:left w:w="60" w:type="dxa"/>
              <w:bottom w:w="60" w:type="dxa"/>
              <w:right w:w="60" w:type="dxa"/>
            </w:tcMar>
          </w:tcPr>
          <w:p>
            <w:pPr>
              <w:widowControl/>
              <w:spacing w:line="360" w:lineRule="auto"/>
              <w:jc w:val="center"/>
              <w:rPr>
                <w:rFonts w:ascii="宋体" w:hAnsi="宋体"/>
                <w:kern w:val="0"/>
                <w:szCs w:val="21"/>
              </w:rPr>
            </w:pPr>
            <w:r>
              <w:rPr>
                <w:rFonts w:hint="eastAsia" w:ascii="宋体" w:hAnsi="宋体"/>
                <w:kern w:val="0"/>
                <w:szCs w:val="21"/>
              </w:rPr>
              <w:t>台</w:t>
            </w:r>
          </w:p>
        </w:tc>
        <w:tc>
          <w:tcPr>
            <w:tcW w:w="900" w:type="dxa"/>
            <w:tcMar>
              <w:top w:w="60" w:type="dxa"/>
              <w:left w:w="60" w:type="dxa"/>
              <w:bottom w:w="60" w:type="dxa"/>
              <w:right w:w="60" w:type="dxa"/>
            </w:tcMar>
          </w:tcPr>
          <w:p>
            <w:pPr>
              <w:widowControl/>
              <w:spacing w:line="360" w:lineRule="auto"/>
              <w:jc w:val="center"/>
              <w:rPr>
                <w:rFonts w:ascii="宋体" w:hAnsi="宋体"/>
                <w:kern w:val="0"/>
                <w:szCs w:val="21"/>
              </w:rPr>
            </w:pPr>
            <w:r>
              <w:rPr>
                <w:rFonts w:ascii="宋体" w:hAnsi="宋体"/>
                <w:kern w:val="0"/>
                <w:szCs w:val="21"/>
              </w:rPr>
              <w:t>1</w:t>
            </w:r>
          </w:p>
        </w:tc>
        <w:tc>
          <w:tcPr>
            <w:tcW w:w="2655" w:type="dxa"/>
            <w:tcMar>
              <w:top w:w="60" w:type="dxa"/>
              <w:left w:w="60" w:type="dxa"/>
              <w:bottom w:w="60" w:type="dxa"/>
              <w:right w:w="60" w:type="dxa"/>
            </w:tcMar>
          </w:tcPr>
          <w:p>
            <w:pPr>
              <w:widowControl/>
              <w:spacing w:line="360" w:lineRule="auto"/>
              <w:jc w:val="left"/>
              <w:rPr>
                <w:rFonts w:ascii="宋体" w:hAnsi="宋体"/>
                <w:kern w:val="0"/>
                <w:szCs w:val="21"/>
              </w:rPr>
            </w:pPr>
            <w:r>
              <w:rPr>
                <w:rFonts w:ascii="宋体" w:hAnsi="宋体"/>
                <w:kern w:val="0"/>
                <w:szCs w:val="21"/>
              </w:rPr>
              <w:t>ERP</w:t>
            </w:r>
            <w:r>
              <w:rPr>
                <w:rFonts w:hint="eastAsia" w:ascii="宋体" w:hAnsi="宋体"/>
                <w:kern w:val="0"/>
                <w:szCs w:val="21"/>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0" w:hRule="atLeast"/>
        </w:trPr>
        <w:tc>
          <w:tcPr>
            <w:tcW w:w="855" w:type="dxa"/>
            <w:tcMar>
              <w:top w:w="60" w:type="dxa"/>
              <w:left w:w="60" w:type="dxa"/>
              <w:bottom w:w="60" w:type="dxa"/>
              <w:right w:w="60" w:type="dxa"/>
            </w:tcMar>
          </w:tcPr>
          <w:p>
            <w:pPr>
              <w:widowControl/>
              <w:spacing w:line="360" w:lineRule="auto"/>
              <w:jc w:val="left"/>
              <w:rPr>
                <w:rFonts w:ascii="宋体" w:hAnsi="宋体"/>
                <w:kern w:val="0"/>
                <w:szCs w:val="21"/>
              </w:rPr>
            </w:pPr>
            <w:r>
              <w:rPr>
                <w:rFonts w:hint="eastAsia" w:ascii="宋体" w:hAnsi="宋体"/>
                <w:kern w:val="0"/>
                <w:szCs w:val="21"/>
              </w:rPr>
              <w:t>3</w:t>
            </w:r>
          </w:p>
        </w:tc>
        <w:tc>
          <w:tcPr>
            <w:tcW w:w="1794" w:type="dxa"/>
            <w:tcMar>
              <w:top w:w="60" w:type="dxa"/>
              <w:left w:w="60" w:type="dxa"/>
              <w:bottom w:w="60" w:type="dxa"/>
              <w:right w:w="60" w:type="dxa"/>
            </w:tcMar>
          </w:tcPr>
          <w:p>
            <w:pPr>
              <w:widowControl/>
              <w:spacing w:line="360" w:lineRule="auto"/>
              <w:jc w:val="left"/>
              <w:rPr>
                <w:rFonts w:ascii="宋体" w:hAnsi="宋体"/>
                <w:kern w:val="0"/>
                <w:szCs w:val="21"/>
              </w:rPr>
            </w:pPr>
            <w:r>
              <w:rPr>
                <w:rFonts w:ascii="宋体" w:hAnsi="宋体"/>
                <w:kern w:val="0"/>
                <w:szCs w:val="21"/>
              </w:rPr>
              <w:t xml:space="preserve">IBM </w:t>
            </w:r>
            <w:r>
              <w:rPr>
                <w:rFonts w:hint="eastAsia" w:ascii="宋体" w:hAnsi="宋体"/>
                <w:kern w:val="0"/>
                <w:szCs w:val="21"/>
              </w:rPr>
              <w:t xml:space="preserve">storwize </w:t>
            </w:r>
            <w:r>
              <w:rPr>
                <w:rFonts w:ascii="宋体" w:hAnsi="宋体"/>
                <w:kern w:val="0"/>
                <w:szCs w:val="21"/>
              </w:rPr>
              <w:t>V3500</w:t>
            </w:r>
          </w:p>
        </w:tc>
        <w:tc>
          <w:tcPr>
            <w:tcW w:w="2241" w:type="dxa"/>
            <w:tcMar>
              <w:top w:w="60" w:type="dxa"/>
              <w:left w:w="60" w:type="dxa"/>
              <w:bottom w:w="60" w:type="dxa"/>
              <w:right w:w="60" w:type="dxa"/>
            </w:tcMar>
          </w:tcPr>
          <w:p>
            <w:pPr>
              <w:widowControl/>
              <w:spacing w:line="360" w:lineRule="auto"/>
              <w:jc w:val="left"/>
              <w:rPr>
                <w:rFonts w:ascii="宋体" w:hAnsi="宋体"/>
                <w:kern w:val="0"/>
                <w:szCs w:val="21"/>
                <w:highlight w:val="yellow"/>
              </w:rPr>
            </w:pPr>
            <w:r>
              <w:rPr>
                <w:rFonts w:hint="eastAsia" w:ascii="宋体" w:hAnsi="宋体"/>
                <w:color w:val="000000"/>
                <w:kern w:val="0"/>
                <w:szCs w:val="21"/>
              </w:rPr>
              <w:t>10*300G硬盘</w:t>
            </w:r>
          </w:p>
        </w:tc>
        <w:tc>
          <w:tcPr>
            <w:tcW w:w="765" w:type="dxa"/>
            <w:tcMar>
              <w:top w:w="60" w:type="dxa"/>
              <w:left w:w="60" w:type="dxa"/>
              <w:bottom w:w="60" w:type="dxa"/>
              <w:right w:w="60" w:type="dxa"/>
            </w:tcMar>
          </w:tcPr>
          <w:p>
            <w:pPr>
              <w:widowControl/>
              <w:spacing w:line="360" w:lineRule="auto"/>
              <w:jc w:val="center"/>
              <w:rPr>
                <w:rFonts w:ascii="宋体" w:hAnsi="宋体"/>
                <w:kern w:val="0"/>
                <w:szCs w:val="21"/>
              </w:rPr>
            </w:pPr>
            <w:r>
              <w:rPr>
                <w:rFonts w:hint="eastAsia" w:ascii="宋体" w:hAnsi="宋体"/>
                <w:kern w:val="0"/>
                <w:szCs w:val="21"/>
              </w:rPr>
              <w:t>台</w:t>
            </w:r>
          </w:p>
        </w:tc>
        <w:tc>
          <w:tcPr>
            <w:tcW w:w="900" w:type="dxa"/>
            <w:tcMar>
              <w:top w:w="60" w:type="dxa"/>
              <w:left w:w="60" w:type="dxa"/>
              <w:bottom w:w="60" w:type="dxa"/>
              <w:right w:w="60" w:type="dxa"/>
            </w:tcMar>
          </w:tcPr>
          <w:p>
            <w:pPr>
              <w:widowControl/>
              <w:spacing w:line="360" w:lineRule="auto"/>
              <w:jc w:val="center"/>
              <w:rPr>
                <w:rFonts w:ascii="宋体" w:hAnsi="宋体"/>
                <w:kern w:val="0"/>
                <w:szCs w:val="21"/>
              </w:rPr>
            </w:pPr>
            <w:r>
              <w:rPr>
                <w:rFonts w:ascii="宋体" w:hAnsi="宋体"/>
                <w:kern w:val="0"/>
                <w:szCs w:val="21"/>
              </w:rPr>
              <w:t>1</w:t>
            </w:r>
          </w:p>
        </w:tc>
        <w:tc>
          <w:tcPr>
            <w:tcW w:w="2655" w:type="dxa"/>
            <w:tcMar>
              <w:top w:w="60" w:type="dxa"/>
              <w:left w:w="60" w:type="dxa"/>
              <w:bottom w:w="60" w:type="dxa"/>
              <w:right w:w="60" w:type="dxa"/>
            </w:tcMar>
          </w:tcPr>
          <w:p>
            <w:pPr>
              <w:widowControl/>
              <w:spacing w:line="360" w:lineRule="auto"/>
              <w:jc w:val="left"/>
              <w:rPr>
                <w:rFonts w:ascii="宋体" w:hAnsi="宋体"/>
                <w:kern w:val="0"/>
                <w:szCs w:val="21"/>
              </w:rPr>
            </w:pPr>
            <w:r>
              <w:rPr>
                <w:rFonts w:hint="eastAsia" w:ascii="宋体" w:hAnsi="宋体"/>
                <w:kern w:val="0"/>
                <w:szCs w:val="21"/>
              </w:rPr>
              <w:t>货运信 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0" w:hRule="atLeast"/>
        </w:trPr>
        <w:tc>
          <w:tcPr>
            <w:tcW w:w="855" w:type="dxa"/>
            <w:tcMar>
              <w:top w:w="60" w:type="dxa"/>
              <w:left w:w="60" w:type="dxa"/>
              <w:bottom w:w="60" w:type="dxa"/>
              <w:right w:w="60" w:type="dxa"/>
            </w:tcMar>
          </w:tcPr>
          <w:p>
            <w:pPr>
              <w:widowControl/>
              <w:spacing w:line="360" w:lineRule="auto"/>
              <w:jc w:val="left"/>
              <w:rPr>
                <w:rFonts w:ascii="宋体" w:hAnsi="宋体"/>
                <w:kern w:val="0"/>
                <w:szCs w:val="21"/>
              </w:rPr>
            </w:pPr>
            <w:r>
              <w:rPr>
                <w:rFonts w:hint="eastAsia" w:ascii="宋体" w:hAnsi="宋体"/>
                <w:kern w:val="0"/>
                <w:szCs w:val="21"/>
              </w:rPr>
              <w:t>4</w:t>
            </w:r>
          </w:p>
        </w:tc>
        <w:tc>
          <w:tcPr>
            <w:tcW w:w="1794" w:type="dxa"/>
            <w:tcMar>
              <w:top w:w="60" w:type="dxa"/>
              <w:left w:w="60" w:type="dxa"/>
              <w:bottom w:w="60" w:type="dxa"/>
              <w:right w:w="60" w:type="dxa"/>
            </w:tcMar>
          </w:tcPr>
          <w:p>
            <w:pPr>
              <w:widowControl/>
              <w:spacing w:line="360" w:lineRule="auto"/>
              <w:jc w:val="left"/>
              <w:rPr>
                <w:rFonts w:ascii="宋体" w:hAnsi="宋体"/>
                <w:kern w:val="0"/>
                <w:szCs w:val="21"/>
              </w:rPr>
            </w:pPr>
            <w:r>
              <w:rPr>
                <w:rFonts w:ascii="宋体" w:hAnsi="宋体"/>
                <w:color w:val="000000"/>
                <w:kern w:val="0"/>
                <w:szCs w:val="21"/>
              </w:rPr>
              <w:t xml:space="preserve">IBM </w:t>
            </w:r>
            <w:r>
              <w:rPr>
                <w:rFonts w:hint="eastAsia" w:ascii="宋体" w:hAnsi="宋体"/>
                <w:color w:val="000000"/>
                <w:kern w:val="0"/>
                <w:szCs w:val="21"/>
              </w:rPr>
              <w:t xml:space="preserve">storwize </w:t>
            </w:r>
            <w:r>
              <w:rPr>
                <w:rFonts w:ascii="宋体" w:hAnsi="宋体"/>
                <w:color w:val="000000"/>
                <w:kern w:val="0"/>
                <w:szCs w:val="21"/>
              </w:rPr>
              <w:t>V3500</w:t>
            </w:r>
          </w:p>
        </w:tc>
        <w:tc>
          <w:tcPr>
            <w:tcW w:w="2241" w:type="dxa"/>
            <w:tcMar>
              <w:top w:w="60" w:type="dxa"/>
              <w:left w:w="60" w:type="dxa"/>
              <w:bottom w:w="60" w:type="dxa"/>
              <w:right w:w="60" w:type="dxa"/>
            </w:tcMar>
          </w:tcPr>
          <w:p>
            <w:pPr>
              <w:widowControl/>
              <w:spacing w:line="360" w:lineRule="auto"/>
              <w:jc w:val="left"/>
              <w:rPr>
                <w:rFonts w:ascii="宋体" w:hAnsi="宋体"/>
                <w:kern w:val="0"/>
                <w:szCs w:val="21"/>
                <w:highlight w:val="yellow"/>
              </w:rPr>
            </w:pPr>
            <w:r>
              <w:rPr>
                <w:rFonts w:hint="eastAsia" w:ascii="宋体" w:hAnsi="宋体"/>
                <w:color w:val="000000"/>
                <w:kern w:val="0"/>
                <w:szCs w:val="21"/>
              </w:rPr>
              <w:t>6*2TB 15k SAS硬盘</w:t>
            </w:r>
          </w:p>
        </w:tc>
        <w:tc>
          <w:tcPr>
            <w:tcW w:w="765" w:type="dxa"/>
            <w:tcMar>
              <w:top w:w="60" w:type="dxa"/>
              <w:left w:w="60" w:type="dxa"/>
              <w:bottom w:w="60" w:type="dxa"/>
              <w:right w:w="60" w:type="dxa"/>
            </w:tcMar>
          </w:tcPr>
          <w:p>
            <w:pPr>
              <w:widowControl/>
              <w:spacing w:line="360" w:lineRule="auto"/>
              <w:jc w:val="center"/>
              <w:rPr>
                <w:rFonts w:ascii="宋体" w:hAnsi="宋体"/>
                <w:kern w:val="0"/>
                <w:szCs w:val="21"/>
              </w:rPr>
            </w:pPr>
            <w:r>
              <w:rPr>
                <w:rFonts w:hint="eastAsia" w:ascii="宋体" w:hAnsi="宋体"/>
                <w:kern w:val="0"/>
                <w:szCs w:val="21"/>
              </w:rPr>
              <w:t>台</w:t>
            </w:r>
          </w:p>
        </w:tc>
        <w:tc>
          <w:tcPr>
            <w:tcW w:w="900" w:type="dxa"/>
            <w:tcMar>
              <w:top w:w="60" w:type="dxa"/>
              <w:left w:w="60" w:type="dxa"/>
              <w:bottom w:w="60" w:type="dxa"/>
              <w:right w:w="60" w:type="dxa"/>
            </w:tcMar>
          </w:tcPr>
          <w:p>
            <w:pPr>
              <w:widowControl/>
              <w:spacing w:line="360" w:lineRule="auto"/>
              <w:jc w:val="center"/>
              <w:rPr>
                <w:rFonts w:ascii="宋体" w:hAnsi="宋体"/>
                <w:kern w:val="0"/>
                <w:szCs w:val="21"/>
              </w:rPr>
            </w:pPr>
            <w:r>
              <w:rPr>
                <w:rFonts w:hint="eastAsia" w:ascii="宋体" w:hAnsi="宋体"/>
                <w:kern w:val="0"/>
                <w:szCs w:val="21"/>
              </w:rPr>
              <w:t>1</w:t>
            </w:r>
          </w:p>
        </w:tc>
        <w:tc>
          <w:tcPr>
            <w:tcW w:w="2655" w:type="dxa"/>
            <w:tcMar>
              <w:top w:w="60" w:type="dxa"/>
              <w:left w:w="60" w:type="dxa"/>
              <w:bottom w:w="60" w:type="dxa"/>
              <w:right w:w="60" w:type="dxa"/>
            </w:tcMar>
          </w:tcPr>
          <w:p>
            <w:pPr>
              <w:widowControl/>
              <w:spacing w:line="360" w:lineRule="auto"/>
              <w:jc w:val="left"/>
              <w:rPr>
                <w:rFonts w:ascii="宋体" w:hAnsi="宋体"/>
                <w:kern w:val="0"/>
                <w:szCs w:val="21"/>
              </w:rPr>
            </w:pPr>
            <w:r>
              <w:rPr>
                <w:rFonts w:hint="eastAsia" w:ascii="宋体" w:hAnsi="宋体"/>
                <w:kern w:val="0"/>
                <w:szCs w:val="21"/>
              </w:rPr>
              <w:t>OA系统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0" w:hRule="atLeast"/>
        </w:trPr>
        <w:tc>
          <w:tcPr>
            <w:tcW w:w="855" w:type="dxa"/>
            <w:tcMar>
              <w:top w:w="60" w:type="dxa"/>
              <w:left w:w="60" w:type="dxa"/>
              <w:bottom w:w="60" w:type="dxa"/>
              <w:right w:w="60" w:type="dxa"/>
            </w:tcMar>
          </w:tcPr>
          <w:p>
            <w:pPr>
              <w:widowControl/>
              <w:spacing w:line="360" w:lineRule="auto"/>
              <w:jc w:val="left"/>
              <w:rPr>
                <w:rFonts w:ascii="宋体" w:hAnsi="宋体"/>
                <w:kern w:val="0"/>
                <w:szCs w:val="21"/>
              </w:rPr>
            </w:pPr>
            <w:r>
              <w:rPr>
                <w:rFonts w:hint="eastAsia" w:ascii="宋体" w:hAnsi="宋体"/>
                <w:kern w:val="0"/>
                <w:szCs w:val="21"/>
              </w:rPr>
              <w:t>5</w:t>
            </w:r>
          </w:p>
        </w:tc>
        <w:tc>
          <w:tcPr>
            <w:tcW w:w="1794" w:type="dxa"/>
            <w:tcMar>
              <w:top w:w="60" w:type="dxa"/>
              <w:left w:w="60" w:type="dxa"/>
              <w:bottom w:w="60" w:type="dxa"/>
              <w:right w:w="60" w:type="dxa"/>
            </w:tcMar>
          </w:tcPr>
          <w:p>
            <w:pPr>
              <w:widowControl/>
              <w:spacing w:line="360" w:lineRule="auto"/>
              <w:jc w:val="left"/>
              <w:rPr>
                <w:rFonts w:ascii="宋体" w:hAnsi="宋体"/>
                <w:kern w:val="0"/>
                <w:szCs w:val="21"/>
              </w:rPr>
            </w:pPr>
            <w:r>
              <w:rPr>
                <w:rFonts w:hint="eastAsia" w:ascii="宋体" w:hAnsi="宋体"/>
                <w:kern w:val="0"/>
                <w:szCs w:val="21"/>
              </w:rPr>
              <w:t>IBM V3400</w:t>
            </w:r>
          </w:p>
        </w:tc>
        <w:tc>
          <w:tcPr>
            <w:tcW w:w="2241" w:type="dxa"/>
            <w:tcMar>
              <w:top w:w="60" w:type="dxa"/>
              <w:left w:w="60" w:type="dxa"/>
              <w:bottom w:w="60" w:type="dxa"/>
              <w:right w:w="60" w:type="dxa"/>
            </w:tcMar>
          </w:tcPr>
          <w:p>
            <w:pPr>
              <w:widowControl/>
              <w:spacing w:line="360" w:lineRule="auto"/>
              <w:jc w:val="left"/>
              <w:rPr>
                <w:rFonts w:ascii="宋体" w:hAnsi="宋体"/>
                <w:kern w:val="0"/>
                <w:szCs w:val="21"/>
                <w:highlight w:val="yellow"/>
              </w:rPr>
            </w:pPr>
            <w:r>
              <w:rPr>
                <w:rFonts w:hint="eastAsia" w:ascii="宋体" w:hAnsi="宋体"/>
                <w:color w:val="000000"/>
                <w:kern w:val="0"/>
                <w:szCs w:val="21"/>
              </w:rPr>
              <w:t>5*146G硬盘</w:t>
            </w:r>
          </w:p>
        </w:tc>
        <w:tc>
          <w:tcPr>
            <w:tcW w:w="765" w:type="dxa"/>
            <w:tcMar>
              <w:top w:w="60" w:type="dxa"/>
              <w:left w:w="60" w:type="dxa"/>
              <w:bottom w:w="60" w:type="dxa"/>
              <w:right w:w="60" w:type="dxa"/>
            </w:tcMar>
          </w:tcPr>
          <w:p>
            <w:pPr>
              <w:widowControl/>
              <w:spacing w:line="360" w:lineRule="auto"/>
              <w:jc w:val="center"/>
              <w:rPr>
                <w:rFonts w:ascii="宋体" w:hAnsi="宋体"/>
                <w:kern w:val="0"/>
                <w:szCs w:val="21"/>
              </w:rPr>
            </w:pPr>
            <w:r>
              <w:rPr>
                <w:rFonts w:hint="eastAsia" w:ascii="宋体" w:hAnsi="宋体"/>
                <w:kern w:val="0"/>
                <w:szCs w:val="21"/>
              </w:rPr>
              <w:t>台</w:t>
            </w:r>
          </w:p>
        </w:tc>
        <w:tc>
          <w:tcPr>
            <w:tcW w:w="900" w:type="dxa"/>
            <w:tcMar>
              <w:top w:w="60" w:type="dxa"/>
              <w:left w:w="60" w:type="dxa"/>
              <w:bottom w:w="60" w:type="dxa"/>
              <w:right w:w="60" w:type="dxa"/>
            </w:tcMar>
          </w:tcPr>
          <w:p>
            <w:pPr>
              <w:widowControl/>
              <w:spacing w:line="360" w:lineRule="auto"/>
              <w:jc w:val="center"/>
              <w:rPr>
                <w:rFonts w:ascii="宋体" w:hAnsi="宋体"/>
                <w:kern w:val="0"/>
                <w:szCs w:val="21"/>
              </w:rPr>
            </w:pPr>
            <w:r>
              <w:rPr>
                <w:rFonts w:ascii="宋体" w:hAnsi="宋体"/>
                <w:kern w:val="0"/>
                <w:szCs w:val="21"/>
              </w:rPr>
              <w:t>1</w:t>
            </w:r>
          </w:p>
        </w:tc>
        <w:tc>
          <w:tcPr>
            <w:tcW w:w="2655" w:type="dxa"/>
            <w:tcMar>
              <w:top w:w="60" w:type="dxa"/>
              <w:left w:w="60" w:type="dxa"/>
              <w:bottom w:w="60" w:type="dxa"/>
              <w:right w:w="60" w:type="dxa"/>
            </w:tcMar>
          </w:tcPr>
          <w:p>
            <w:pPr>
              <w:widowControl/>
              <w:spacing w:line="360" w:lineRule="auto"/>
              <w:jc w:val="left"/>
              <w:rPr>
                <w:rFonts w:ascii="宋体" w:hAnsi="宋体"/>
                <w:kern w:val="0"/>
                <w:szCs w:val="21"/>
              </w:rPr>
            </w:pPr>
            <w:r>
              <w:rPr>
                <w:rFonts w:hint="eastAsia" w:ascii="宋体" w:hAnsi="宋体"/>
                <w:kern w:val="0"/>
                <w:szCs w:val="21"/>
              </w:rPr>
              <w:t>生产日志系统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0" w:hRule="atLeast"/>
        </w:trPr>
        <w:tc>
          <w:tcPr>
            <w:tcW w:w="855" w:type="dxa"/>
            <w:tcMar>
              <w:top w:w="60" w:type="dxa"/>
              <w:left w:w="60" w:type="dxa"/>
              <w:bottom w:w="60" w:type="dxa"/>
              <w:right w:w="60" w:type="dxa"/>
            </w:tcMar>
          </w:tcPr>
          <w:p>
            <w:pPr>
              <w:widowControl/>
              <w:spacing w:line="360" w:lineRule="auto"/>
              <w:jc w:val="left"/>
              <w:rPr>
                <w:rFonts w:ascii="宋体" w:hAnsi="宋体"/>
                <w:kern w:val="0"/>
                <w:szCs w:val="21"/>
              </w:rPr>
            </w:pPr>
            <w:r>
              <w:rPr>
                <w:rFonts w:ascii="宋体" w:hAnsi="宋体"/>
                <w:kern w:val="0"/>
                <w:szCs w:val="21"/>
              </w:rPr>
              <w:t>6</w:t>
            </w:r>
          </w:p>
        </w:tc>
        <w:tc>
          <w:tcPr>
            <w:tcW w:w="1794" w:type="dxa"/>
            <w:tcMar>
              <w:top w:w="60" w:type="dxa"/>
              <w:left w:w="60" w:type="dxa"/>
              <w:bottom w:w="60" w:type="dxa"/>
              <w:right w:w="60" w:type="dxa"/>
            </w:tcMar>
          </w:tcPr>
          <w:p>
            <w:pPr>
              <w:widowControl/>
              <w:spacing w:line="360" w:lineRule="auto"/>
              <w:jc w:val="left"/>
              <w:rPr>
                <w:rFonts w:ascii="宋体" w:hAnsi="宋体"/>
                <w:color w:val="000000"/>
                <w:kern w:val="0"/>
                <w:szCs w:val="21"/>
              </w:rPr>
            </w:pPr>
            <w:r>
              <w:rPr>
                <w:rFonts w:ascii="宋体" w:hAnsi="宋体"/>
                <w:color w:val="000000"/>
                <w:kern w:val="0"/>
                <w:szCs w:val="21"/>
              </w:rPr>
              <w:t>O</w:t>
            </w:r>
            <w:r>
              <w:rPr>
                <w:rFonts w:hint="eastAsia" w:ascii="宋体" w:hAnsi="宋体"/>
                <w:color w:val="000000"/>
                <w:kern w:val="0"/>
                <w:szCs w:val="21"/>
              </w:rPr>
              <w:t>racle 软件</w:t>
            </w:r>
          </w:p>
        </w:tc>
        <w:tc>
          <w:tcPr>
            <w:tcW w:w="2241" w:type="dxa"/>
            <w:tcMar>
              <w:top w:w="60" w:type="dxa"/>
              <w:left w:w="60" w:type="dxa"/>
              <w:bottom w:w="60" w:type="dxa"/>
              <w:right w:w="60" w:type="dxa"/>
            </w:tcMar>
          </w:tcPr>
          <w:p>
            <w:pPr>
              <w:widowControl/>
              <w:spacing w:line="360" w:lineRule="auto"/>
              <w:jc w:val="left"/>
              <w:rPr>
                <w:rFonts w:ascii="宋体" w:hAnsi="宋体"/>
                <w:color w:val="000000"/>
                <w:kern w:val="0"/>
                <w:szCs w:val="21"/>
              </w:rPr>
            </w:pPr>
            <w:r>
              <w:rPr>
                <w:rFonts w:ascii="宋体" w:hAnsi="宋体"/>
                <w:color w:val="000000"/>
                <w:kern w:val="0"/>
                <w:szCs w:val="21"/>
              </w:rPr>
              <w:t>O</w:t>
            </w:r>
            <w:r>
              <w:rPr>
                <w:rFonts w:hint="eastAsia" w:ascii="宋体" w:hAnsi="宋体"/>
                <w:color w:val="000000"/>
                <w:kern w:val="0"/>
                <w:szCs w:val="21"/>
              </w:rPr>
              <w:t>racle</w:t>
            </w:r>
            <w:r>
              <w:rPr>
                <w:rFonts w:ascii="宋体" w:hAnsi="宋体"/>
                <w:color w:val="000000"/>
                <w:kern w:val="0"/>
                <w:szCs w:val="21"/>
              </w:rPr>
              <w:t xml:space="preserve">  11g</w:t>
            </w:r>
          </w:p>
        </w:tc>
        <w:tc>
          <w:tcPr>
            <w:tcW w:w="765" w:type="dxa"/>
            <w:tcMar>
              <w:top w:w="60" w:type="dxa"/>
              <w:left w:w="60" w:type="dxa"/>
              <w:bottom w:w="60" w:type="dxa"/>
              <w:right w:w="60" w:type="dxa"/>
            </w:tcMar>
          </w:tcPr>
          <w:p>
            <w:pPr>
              <w:widowControl/>
              <w:spacing w:line="360" w:lineRule="auto"/>
              <w:jc w:val="center"/>
              <w:rPr>
                <w:rFonts w:ascii="宋体" w:hAnsi="宋体"/>
                <w:kern w:val="0"/>
                <w:szCs w:val="21"/>
              </w:rPr>
            </w:pPr>
            <w:r>
              <w:rPr>
                <w:rFonts w:hint="eastAsia" w:ascii="宋体" w:hAnsi="宋体"/>
                <w:kern w:val="0"/>
                <w:szCs w:val="21"/>
              </w:rPr>
              <w:t>套</w:t>
            </w:r>
          </w:p>
        </w:tc>
        <w:tc>
          <w:tcPr>
            <w:tcW w:w="900" w:type="dxa"/>
            <w:tcMar>
              <w:top w:w="60" w:type="dxa"/>
              <w:left w:w="60" w:type="dxa"/>
              <w:bottom w:w="60" w:type="dxa"/>
              <w:right w:w="60" w:type="dxa"/>
            </w:tcMar>
          </w:tcPr>
          <w:p>
            <w:pPr>
              <w:widowControl/>
              <w:spacing w:line="360" w:lineRule="auto"/>
              <w:jc w:val="center"/>
              <w:rPr>
                <w:rFonts w:ascii="宋体" w:hAnsi="宋体"/>
                <w:kern w:val="0"/>
                <w:szCs w:val="21"/>
              </w:rPr>
            </w:pPr>
            <w:r>
              <w:rPr>
                <w:rFonts w:hint="eastAsia" w:ascii="宋体" w:hAnsi="宋体"/>
                <w:kern w:val="0"/>
                <w:szCs w:val="21"/>
              </w:rPr>
              <w:t>1</w:t>
            </w:r>
          </w:p>
        </w:tc>
        <w:tc>
          <w:tcPr>
            <w:tcW w:w="2655" w:type="dxa"/>
            <w:tcMar>
              <w:top w:w="60" w:type="dxa"/>
              <w:left w:w="60" w:type="dxa"/>
              <w:bottom w:w="60" w:type="dxa"/>
              <w:right w:w="60" w:type="dxa"/>
            </w:tcMar>
          </w:tcPr>
          <w:p>
            <w:pPr>
              <w:widowControl/>
              <w:spacing w:line="360" w:lineRule="auto"/>
              <w:jc w:val="left"/>
              <w:rPr>
                <w:rFonts w:ascii="宋体" w:hAnsi="宋体"/>
                <w:kern w:val="0"/>
                <w:szCs w:val="21"/>
              </w:rPr>
            </w:pPr>
            <w:r>
              <w:rPr>
                <w:rFonts w:hint="eastAsia" w:ascii="宋体" w:hAnsi="宋体"/>
                <w:kern w:val="0"/>
                <w:szCs w:val="21"/>
              </w:rPr>
              <w:t>数据</w:t>
            </w:r>
            <w:r>
              <w:rPr>
                <w:rFonts w:ascii="宋体" w:hAnsi="宋体"/>
                <w:kern w:val="0"/>
                <w:szCs w:val="21"/>
              </w:rPr>
              <w:t>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0" w:hRule="atLeast"/>
        </w:trPr>
        <w:tc>
          <w:tcPr>
            <w:tcW w:w="855" w:type="dxa"/>
            <w:tcMar>
              <w:top w:w="60" w:type="dxa"/>
              <w:left w:w="60" w:type="dxa"/>
              <w:bottom w:w="60" w:type="dxa"/>
              <w:right w:w="60" w:type="dxa"/>
            </w:tcMar>
          </w:tcPr>
          <w:p>
            <w:pPr>
              <w:widowControl/>
              <w:spacing w:line="360" w:lineRule="auto"/>
              <w:jc w:val="left"/>
              <w:rPr>
                <w:rFonts w:ascii="宋体" w:hAnsi="宋体"/>
                <w:kern w:val="0"/>
                <w:szCs w:val="21"/>
              </w:rPr>
            </w:pPr>
            <w:r>
              <w:rPr>
                <w:rFonts w:ascii="宋体" w:hAnsi="宋体"/>
                <w:kern w:val="0"/>
                <w:szCs w:val="21"/>
              </w:rPr>
              <w:t>7</w:t>
            </w:r>
          </w:p>
        </w:tc>
        <w:tc>
          <w:tcPr>
            <w:tcW w:w="1794" w:type="dxa"/>
            <w:tcMar>
              <w:top w:w="60" w:type="dxa"/>
              <w:left w:w="60" w:type="dxa"/>
              <w:bottom w:w="60" w:type="dxa"/>
              <w:right w:w="60" w:type="dxa"/>
            </w:tcMar>
          </w:tcPr>
          <w:p>
            <w:pPr>
              <w:widowControl/>
              <w:spacing w:line="360" w:lineRule="auto"/>
              <w:jc w:val="left"/>
              <w:rPr>
                <w:rFonts w:ascii="宋体" w:hAnsi="宋体"/>
                <w:color w:val="000000"/>
                <w:kern w:val="0"/>
                <w:szCs w:val="21"/>
              </w:rPr>
            </w:pPr>
            <w:r>
              <w:rPr>
                <w:rFonts w:hint="eastAsia" w:ascii="宋体" w:hAnsi="宋体"/>
                <w:color w:val="000000"/>
                <w:kern w:val="0"/>
                <w:szCs w:val="21"/>
              </w:rPr>
              <w:t xml:space="preserve">IBM 存储 </w:t>
            </w:r>
            <w:r>
              <w:rPr>
                <w:rFonts w:ascii="宋体" w:hAnsi="宋体"/>
                <w:color w:val="000000"/>
                <w:kern w:val="0"/>
                <w:szCs w:val="21"/>
              </w:rPr>
              <w:t>DS5020</w:t>
            </w:r>
          </w:p>
        </w:tc>
        <w:tc>
          <w:tcPr>
            <w:tcW w:w="2241" w:type="dxa"/>
            <w:tcMar>
              <w:top w:w="60" w:type="dxa"/>
              <w:left w:w="60" w:type="dxa"/>
              <w:bottom w:w="60" w:type="dxa"/>
              <w:right w:w="60" w:type="dxa"/>
            </w:tcMar>
          </w:tcPr>
          <w:p>
            <w:pPr>
              <w:widowControl/>
              <w:spacing w:line="360" w:lineRule="auto"/>
              <w:jc w:val="left"/>
              <w:rPr>
                <w:rFonts w:ascii="宋体" w:hAnsi="宋体"/>
                <w:color w:val="000000"/>
                <w:kern w:val="0"/>
                <w:szCs w:val="21"/>
              </w:rPr>
            </w:pPr>
            <w:r>
              <w:rPr>
                <w:rFonts w:hint="eastAsia" w:ascii="宋体" w:hAnsi="宋体"/>
                <w:color w:val="000000"/>
                <w:kern w:val="0"/>
                <w:szCs w:val="21"/>
              </w:rPr>
              <w:t>2G</w:t>
            </w:r>
            <w:r>
              <w:rPr>
                <w:rFonts w:ascii="宋体" w:hAnsi="宋体"/>
                <w:color w:val="000000"/>
                <w:kern w:val="0"/>
                <w:szCs w:val="21"/>
              </w:rPr>
              <w:t xml:space="preserve"> cache 14*1TB </w:t>
            </w:r>
            <w:r>
              <w:rPr>
                <w:rFonts w:hint="eastAsia" w:ascii="宋体" w:hAnsi="宋体"/>
                <w:color w:val="000000"/>
                <w:kern w:val="0"/>
                <w:szCs w:val="21"/>
              </w:rPr>
              <w:t>硬盘</w:t>
            </w:r>
          </w:p>
        </w:tc>
        <w:tc>
          <w:tcPr>
            <w:tcW w:w="765" w:type="dxa"/>
            <w:tcMar>
              <w:top w:w="60" w:type="dxa"/>
              <w:left w:w="60" w:type="dxa"/>
              <w:bottom w:w="60" w:type="dxa"/>
              <w:right w:w="60" w:type="dxa"/>
            </w:tcMar>
          </w:tcPr>
          <w:p>
            <w:pPr>
              <w:widowControl/>
              <w:spacing w:line="360" w:lineRule="auto"/>
              <w:jc w:val="center"/>
              <w:rPr>
                <w:rFonts w:ascii="宋体" w:hAnsi="宋体"/>
                <w:kern w:val="0"/>
                <w:szCs w:val="21"/>
              </w:rPr>
            </w:pPr>
            <w:r>
              <w:rPr>
                <w:rFonts w:hint="eastAsia" w:ascii="宋体" w:hAnsi="宋体"/>
                <w:kern w:val="0"/>
                <w:szCs w:val="21"/>
              </w:rPr>
              <w:t>台</w:t>
            </w:r>
          </w:p>
        </w:tc>
        <w:tc>
          <w:tcPr>
            <w:tcW w:w="900" w:type="dxa"/>
            <w:tcMar>
              <w:top w:w="60" w:type="dxa"/>
              <w:left w:w="60" w:type="dxa"/>
              <w:bottom w:w="60" w:type="dxa"/>
              <w:right w:w="60" w:type="dxa"/>
            </w:tcMar>
          </w:tcPr>
          <w:p>
            <w:pPr>
              <w:widowControl/>
              <w:spacing w:line="360" w:lineRule="auto"/>
              <w:jc w:val="center"/>
              <w:rPr>
                <w:rFonts w:ascii="宋体" w:hAnsi="宋体"/>
                <w:kern w:val="0"/>
                <w:szCs w:val="21"/>
              </w:rPr>
            </w:pPr>
            <w:r>
              <w:rPr>
                <w:rFonts w:ascii="宋体" w:hAnsi="宋体"/>
                <w:kern w:val="0"/>
                <w:szCs w:val="21"/>
              </w:rPr>
              <w:t>1</w:t>
            </w:r>
          </w:p>
        </w:tc>
        <w:tc>
          <w:tcPr>
            <w:tcW w:w="2655" w:type="dxa"/>
            <w:tcMar>
              <w:top w:w="60" w:type="dxa"/>
              <w:left w:w="60" w:type="dxa"/>
              <w:bottom w:w="60" w:type="dxa"/>
              <w:right w:w="60" w:type="dxa"/>
            </w:tcMar>
          </w:tcPr>
          <w:p>
            <w:pPr>
              <w:widowControl/>
              <w:spacing w:line="360" w:lineRule="auto"/>
              <w:jc w:val="left"/>
              <w:rPr>
                <w:rFonts w:ascii="宋体" w:hAnsi="宋体"/>
                <w:kern w:val="0"/>
                <w:szCs w:val="21"/>
              </w:rPr>
            </w:pPr>
            <w:r>
              <w:rPr>
                <w:rFonts w:hint="eastAsia" w:ascii="宋体" w:hAnsi="宋体"/>
                <w:kern w:val="0"/>
                <w:szCs w:val="21"/>
              </w:rPr>
              <w:t>数据</w:t>
            </w:r>
            <w:r>
              <w:rPr>
                <w:rFonts w:ascii="宋体" w:hAnsi="宋体"/>
                <w:kern w:val="0"/>
                <w:szCs w:val="21"/>
              </w:rPr>
              <w:t>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0" w:hRule="atLeast"/>
        </w:trPr>
        <w:tc>
          <w:tcPr>
            <w:tcW w:w="855" w:type="dxa"/>
            <w:tcMar>
              <w:top w:w="60" w:type="dxa"/>
              <w:left w:w="60" w:type="dxa"/>
              <w:bottom w:w="60" w:type="dxa"/>
              <w:right w:w="60" w:type="dxa"/>
            </w:tcMar>
          </w:tcPr>
          <w:p>
            <w:pPr>
              <w:widowControl/>
              <w:spacing w:line="360" w:lineRule="auto"/>
              <w:jc w:val="left"/>
              <w:rPr>
                <w:rFonts w:ascii="宋体" w:hAnsi="宋体"/>
                <w:kern w:val="0"/>
                <w:szCs w:val="21"/>
              </w:rPr>
            </w:pPr>
            <w:r>
              <w:rPr>
                <w:rFonts w:hint="eastAsia" w:ascii="宋体" w:hAnsi="宋体"/>
                <w:kern w:val="0"/>
                <w:szCs w:val="21"/>
              </w:rPr>
              <w:t>8</w:t>
            </w:r>
          </w:p>
        </w:tc>
        <w:tc>
          <w:tcPr>
            <w:tcW w:w="1794" w:type="dxa"/>
            <w:tcMar>
              <w:top w:w="60" w:type="dxa"/>
              <w:left w:w="60" w:type="dxa"/>
              <w:bottom w:w="60" w:type="dxa"/>
              <w:right w:w="60" w:type="dxa"/>
            </w:tcMar>
          </w:tcPr>
          <w:p>
            <w:pPr>
              <w:widowControl/>
              <w:spacing w:line="360" w:lineRule="auto"/>
              <w:jc w:val="left"/>
              <w:rPr>
                <w:rFonts w:ascii="宋体" w:hAnsi="宋体"/>
                <w:color w:val="000000"/>
                <w:kern w:val="0"/>
                <w:szCs w:val="21"/>
              </w:rPr>
            </w:pPr>
            <w:r>
              <w:rPr>
                <w:rFonts w:ascii="宋体" w:hAnsi="宋体"/>
                <w:color w:val="000000"/>
                <w:kern w:val="0"/>
                <w:szCs w:val="21"/>
              </w:rPr>
              <w:t>IBM System p550</w:t>
            </w:r>
          </w:p>
        </w:tc>
        <w:tc>
          <w:tcPr>
            <w:tcW w:w="2241" w:type="dxa"/>
            <w:tcMar>
              <w:top w:w="60" w:type="dxa"/>
              <w:left w:w="60" w:type="dxa"/>
              <w:bottom w:w="60" w:type="dxa"/>
              <w:right w:w="60" w:type="dxa"/>
            </w:tcMar>
          </w:tcPr>
          <w:p>
            <w:pPr>
              <w:widowControl/>
              <w:spacing w:line="360" w:lineRule="auto"/>
              <w:jc w:val="left"/>
              <w:rPr>
                <w:rFonts w:ascii="宋体" w:hAnsi="宋体"/>
                <w:color w:val="000000"/>
                <w:kern w:val="0"/>
                <w:szCs w:val="21"/>
              </w:rPr>
            </w:pPr>
            <w:r>
              <w:rPr>
                <w:rFonts w:hint="eastAsia" w:ascii="宋体" w:hAnsi="宋体"/>
                <w:color w:val="000000"/>
                <w:kern w:val="0"/>
                <w:szCs w:val="21"/>
              </w:rPr>
              <w:t xml:space="preserve">AIX6 2路CPU </w:t>
            </w:r>
            <w:r>
              <w:rPr>
                <w:rFonts w:ascii="宋体" w:hAnsi="宋体"/>
                <w:color w:val="000000"/>
                <w:kern w:val="0"/>
                <w:szCs w:val="21"/>
              </w:rPr>
              <w:t>16G</w:t>
            </w:r>
            <w:r>
              <w:rPr>
                <w:rFonts w:hint="eastAsia" w:ascii="宋体" w:hAnsi="宋体"/>
                <w:color w:val="000000"/>
                <w:kern w:val="0"/>
                <w:szCs w:val="21"/>
              </w:rPr>
              <w:t>内存 2</w:t>
            </w:r>
            <w:r>
              <w:rPr>
                <w:rFonts w:ascii="宋体" w:hAnsi="宋体"/>
                <w:color w:val="000000"/>
                <w:kern w:val="0"/>
                <w:szCs w:val="21"/>
              </w:rPr>
              <w:t>*146G</w:t>
            </w:r>
            <w:r>
              <w:rPr>
                <w:rFonts w:hint="eastAsia" w:ascii="宋体" w:hAnsi="宋体"/>
                <w:color w:val="000000"/>
                <w:kern w:val="0"/>
                <w:szCs w:val="21"/>
              </w:rPr>
              <w:t>硬盘</w:t>
            </w:r>
          </w:p>
        </w:tc>
        <w:tc>
          <w:tcPr>
            <w:tcW w:w="765" w:type="dxa"/>
            <w:tcMar>
              <w:top w:w="60" w:type="dxa"/>
              <w:left w:w="60" w:type="dxa"/>
              <w:bottom w:w="60" w:type="dxa"/>
              <w:right w:w="60" w:type="dxa"/>
            </w:tcMar>
          </w:tcPr>
          <w:p>
            <w:pPr>
              <w:widowControl/>
              <w:spacing w:line="360" w:lineRule="auto"/>
              <w:jc w:val="center"/>
              <w:rPr>
                <w:rFonts w:ascii="宋体" w:hAnsi="宋体"/>
                <w:kern w:val="0"/>
                <w:szCs w:val="21"/>
              </w:rPr>
            </w:pPr>
            <w:r>
              <w:rPr>
                <w:rFonts w:hint="eastAsia" w:ascii="宋体" w:hAnsi="宋体"/>
                <w:kern w:val="0"/>
                <w:szCs w:val="21"/>
              </w:rPr>
              <w:t>台</w:t>
            </w:r>
          </w:p>
        </w:tc>
        <w:tc>
          <w:tcPr>
            <w:tcW w:w="900" w:type="dxa"/>
            <w:tcMar>
              <w:top w:w="60" w:type="dxa"/>
              <w:left w:w="60" w:type="dxa"/>
              <w:bottom w:w="60" w:type="dxa"/>
              <w:right w:w="60" w:type="dxa"/>
            </w:tcMar>
          </w:tcPr>
          <w:p>
            <w:pPr>
              <w:widowControl/>
              <w:spacing w:line="360" w:lineRule="auto"/>
              <w:jc w:val="center"/>
              <w:rPr>
                <w:rFonts w:ascii="宋体" w:hAnsi="宋体"/>
                <w:kern w:val="0"/>
                <w:szCs w:val="21"/>
              </w:rPr>
            </w:pPr>
            <w:r>
              <w:rPr>
                <w:rFonts w:ascii="宋体" w:hAnsi="宋体"/>
                <w:kern w:val="0"/>
                <w:szCs w:val="21"/>
              </w:rPr>
              <w:t>2</w:t>
            </w:r>
          </w:p>
        </w:tc>
        <w:tc>
          <w:tcPr>
            <w:tcW w:w="2655" w:type="dxa"/>
            <w:tcMar>
              <w:top w:w="60" w:type="dxa"/>
              <w:left w:w="60" w:type="dxa"/>
              <w:bottom w:w="60" w:type="dxa"/>
              <w:right w:w="60" w:type="dxa"/>
            </w:tcMar>
          </w:tcPr>
          <w:p>
            <w:pPr>
              <w:widowControl/>
              <w:spacing w:line="360" w:lineRule="auto"/>
              <w:jc w:val="left"/>
              <w:rPr>
                <w:rFonts w:ascii="宋体" w:hAnsi="宋体"/>
                <w:kern w:val="0"/>
                <w:szCs w:val="21"/>
              </w:rPr>
            </w:pPr>
            <w:r>
              <w:rPr>
                <w:rFonts w:hint="eastAsia" w:ascii="宋体" w:hAnsi="宋体"/>
                <w:kern w:val="0"/>
                <w:szCs w:val="21"/>
              </w:rPr>
              <w:t>数据</w:t>
            </w:r>
            <w:r>
              <w:rPr>
                <w:rFonts w:ascii="宋体" w:hAnsi="宋体"/>
                <w:kern w:val="0"/>
                <w:szCs w:val="21"/>
              </w:rPr>
              <w:t>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0" w:hRule="atLeast"/>
        </w:trPr>
        <w:tc>
          <w:tcPr>
            <w:tcW w:w="855" w:type="dxa"/>
            <w:tcMar>
              <w:top w:w="60" w:type="dxa"/>
              <w:left w:w="60" w:type="dxa"/>
              <w:bottom w:w="60" w:type="dxa"/>
              <w:right w:w="60" w:type="dxa"/>
            </w:tcMar>
          </w:tcPr>
          <w:p>
            <w:pPr>
              <w:widowControl/>
              <w:spacing w:line="360" w:lineRule="auto"/>
              <w:jc w:val="left"/>
              <w:rPr>
                <w:rFonts w:ascii="宋体" w:hAnsi="宋体"/>
                <w:kern w:val="0"/>
                <w:szCs w:val="21"/>
              </w:rPr>
            </w:pPr>
            <w:r>
              <w:rPr>
                <w:rFonts w:ascii="宋体" w:hAnsi="宋体"/>
                <w:kern w:val="0"/>
                <w:szCs w:val="21"/>
              </w:rPr>
              <w:t>9</w:t>
            </w:r>
          </w:p>
        </w:tc>
        <w:tc>
          <w:tcPr>
            <w:tcW w:w="1794" w:type="dxa"/>
            <w:tcMar>
              <w:top w:w="60" w:type="dxa"/>
              <w:left w:w="60" w:type="dxa"/>
              <w:bottom w:w="60" w:type="dxa"/>
              <w:right w:w="60" w:type="dxa"/>
            </w:tcMar>
          </w:tcPr>
          <w:p>
            <w:pPr>
              <w:widowControl/>
              <w:spacing w:line="360" w:lineRule="auto"/>
              <w:jc w:val="left"/>
              <w:rPr>
                <w:rFonts w:ascii="宋体" w:hAnsi="宋体"/>
                <w:color w:val="000000"/>
                <w:kern w:val="0"/>
                <w:szCs w:val="21"/>
              </w:rPr>
            </w:pPr>
            <w:r>
              <w:rPr>
                <w:rFonts w:ascii="宋体" w:hAnsi="宋体"/>
                <w:color w:val="000000"/>
                <w:kern w:val="0"/>
                <w:szCs w:val="21"/>
              </w:rPr>
              <w:t>IBM System p5</w:t>
            </w:r>
          </w:p>
        </w:tc>
        <w:tc>
          <w:tcPr>
            <w:tcW w:w="2241" w:type="dxa"/>
            <w:tcMar>
              <w:top w:w="60" w:type="dxa"/>
              <w:left w:w="60" w:type="dxa"/>
              <w:bottom w:w="60" w:type="dxa"/>
              <w:right w:w="60" w:type="dxa"/>
            </w:tcMar>
          </w:tcPr>
          <w:p>
            <w:pPr>
              <w:widowControl/>
              <w:spacing w:line="360" w:lineRule="auto"/>
              <w:jc w:val="left"/>
              <w:rPr>
                <w:rFonts w:ascii="宋体" w:hAnsi="宋体"/>
                <w:color w:val="000000"/>
                <w:kern w:val="0"/>
                <w:szCs w:val="21"/>
              </w:rPr>
            </w:pPr>
            <w:r>
              <w:rPr>
                <w:rFonts w:hint="eastAsia" w:ascii="宋体" w:hAnsi="宋体"/>
                <w:color w:val="000000"/>
                <w:kern w:val="0"/>
                <w:szCs w:val="21"/>
              </w:rPr>
              <w:t xml:space="preserve">AIX6 2路CPU </w:t>
            </w:r>
            <w:r>
              <w:rPr>
                <w:rFonts w:ascii="宋体" w:hAnsi="宋体"/>
                <w:color w:val="000000"/>
                <w:kern w:val="0"/>
                <w:szCs w:val="21"/>
              </w:rPr>
              <w:t>4G</w:t>
            </w:r>
            <w:r>
              <w:rPr>
                <w:rFonts w:hint="eastAsia" w:ascii="宋体" w:hAnsi="宋体"/>
                <w:color w:val="000000"/>
                <w:kern w:val="0"/>
                <w:szCs w:val="21"/>
              </w:rPr>
              <w:t>内存</w:t>
            </w:r>
          </w:p>
        </w:tc>
        <w:tc>
          <w:tcPr>
            <w:tcW w:w="765" w:type="dxa"/>
            <w:tcMar>
              <w:top w:w="60" w:type="dxa"/>
              <w:left w:w="60" w:type="dxa"/>
              <w:bottom w:w="60" w:type="dxa"/>
              <w:right w:w="60" w:type="dxa"/>
            </w:tcMar>
          </w:tcPr>
          <w:p>
            <w:pPr>
              <w:widowControl/>
              <w:spacing w:line="360" w:lineRule="auto"/>
              <w:jc w:val="center"/>
              <w:rPr>
                <w:rFonts w:ascii="宋体" w:hAnsi="宋体"/>
                <w:kern w:val="0"/>
                <w:szCs w:val="21"/>
              </w:rPr>
            </w:pPr>
            <w:r>
              <w:rPr>
                <w:rFonts w:hint="eastAsia" w:ascii="宋体" w:hAnsi="宋体"/>
                <w:kern w:val="0"/>
                <w:szCs w:val="21"/>
              </w:rPr>
              <w:t>台</w:t>
            </w:r>
          </w:p>
        </w:tc>
        <w:tc>
          <w:tcPr>
            <w:tcW w:w="900" w:type="dxa"/>
            <w:tcMar>
              <w:top w:w="60" w:type="dxa"/>
              <w:left w:w="60" w:type="dxa"/>
              <w:bottom w:w="60" w:type="dxa"/>
              <w:right w:w="60" w:type="dxa"/>
            </w:tcMar>
          </w:tcPr>
          <w:p>
            <w:pPr>
              <w:widowControl/>
              <w:spacing w:line="360" w:lineRule="auto"/>
              <w:jc w:val="center"/>
              <w:rPr>
                <w:rFonts w:ascii="宋体" w:hAnsi="宋体"/>
                <w:kern w:val="0"/>
                <w:szCs w:val="21"/>
              </w:rPr>
            </w:pPr>
            <w:r>
              <w:rPr>
                <w:rFonts w:ascii="宋体" w:hAnsi="宋体"/>
                <w:kern w:val="0"/>
                <w:szCs w:val="21"/>
              </w:rPr>
              <w:t>2</w:t>
            </w:r>
          </w:p>
        </w:tc>
        <w:tc>
          <w:tcPr>
            <w:tcW w:w="2655" w:type="dxa"/>
            <w:tcMar>
              <w:top w:w="60" w:type="dxa"/>
              <w:left w:w="60" w:type="dxa"/>
              <w:bottom w:w="60" w:type="dxa"/>
              <w:right w:w="60" w:type="dxa"/>
            </w:tcMar>
          </w:tcPr>
          <w:p>
            <w:pPr>
              <w:widowControl/>
              <w:spacing w:line="360" w:lineRule="auto"/>
              <w:jc w:val="left"/>
              <w:rPr>
                <w:rFonts w:ascii="宋体" w:hAnsi="宋体"/>
                <w:kern w:val="0"/>
                <w:szCs w:val="21"/>
              </w:rPr>
            </w:pPr>
            <w:r>
              <w:rPr>
                <w:rFonts w:hint="eastAsia" w:ascii="宋体" w:hAnsi="宋体"/>
                <w:kern w:val="0"/>
                <w:szCs w:val="21"/>
              </w:rPr>
              <w:t>交换</w:t>
            </w:r>
            <w:r>
              <w:rPr>
                <w:rFonts w:ascii="宋体" w:hAnsi="宋体"/>
                <w:kern w:val="0"/>
                <w:szCs w:val="21"/>
              </w:rPr>
              <w:t>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0" w:hRule="atLeast"/>
        </w:trPr>
        <w:tc>
          <w:tcPr>
            <w:tcW w:w="855" w:type="dxa"/>
            <w:tcMar>
              <w:top w:w="60" w:type="dxa"/>
              <w:left w:w="60" w:type="dxa"/>
              <w:bottom w:w="60" w:type="dxa"/>
              <w:right w:w="60" w:type="dxa"/>
            </w:tcMar>
          </w:tcPr>
          <w:p>
            <w:pPr>
              <w:widowControl/>
              <w:spacing w:line="360" w:lineRule="auto"/>
              <w:jc w:val="left"/>
              <w:rPr>
                <w:rFonts w:ascii="宋体" w:hAnsi="宋体"/>
                <w:kern w:val="0"/>
                <w:szCs w:val="21"/>
              </w:rPr>
            </w:pPr>
            <w:r>
              <w:rPr>
                <w:rFonts w:ascii="宋体" w:hAnsi="宋体"/>
                <w:kern w:val="0"/>
                <w:szCs w:val="21"/>
              </w:rPr>
              <w:t>10</w:t>
            </w:r>
          </w:p>
        </w:tc>
        <w:tc>
          <w:tcPr>
            <w:tcW w:w="1794" w:type="dxa"/>
            <w:tcMar>
              <w:top w:w="60" w:type="dxa"/>
              <w:left w:w="60" w:type="dxa"/>
              <w:bottom w:w="60" w:type="dxa"/>
              <w:right w:w="60" w:type="dxa"/>
            </w:tcMar>
          </w:tcPr>
          <w:p>
            <w:pPr>
              <w:widowControl/>
              <w:spacing w:line="360" w:lineRule="auto"/>
              <w:jc w:val="left"/>
              <w:rPr>
                <w:rFonts w:ascii="宋体" w:hAnsi="宋体"/>
                <w:color w:val="000000"/>
                <w:kern w:val="0"/>
                <w:szCs w:val="21"/>
              </w:rPr>
            </w:pPr>
            <w:r>
              <w:rPr>
                <w:rFonts w:hint="eastAsia" w:ascii="宋体" w:hAnsi="宋体"/>
                <w:color w:val="000000"/>
                <w:kern w:val="0"/>
                <w:szCs w:val="21"/>
              </w:rPr>
              <w:t xml:space="preserve">IBM 存储 </w:t>
            </w:r>
            <w:r>
              <w:rPr>
                <w:rFonts w:ascii="宋体" w:hAnsi="宋体"/>
                <w:color w:val="000000"/>
                <w:kern w:val="0"/>
                <w:szCs w:val="21"/>
              </w:rPr>
              <w:t>DS4700</w:t>
            </w:r>
          </w:p>
        </w:tc>
        <w:tc>
          <w:tcPr>
            <w:tcW w:w="2241" w:type="dxa"/>
            <w:tcMar>
              <w:top w:w="60" w:type="dxa"/>
              <w:left w:w="60" w:type="dxa"/>
              <w:bottom w:w="60" w:type="dxa"/>
              <w:right w:w="60" w:type="dxa"/>
            </w:tcMar>
          </w:tcPr>
          <w:p>
            <w:pPr>
              <w:widowControl/>
              <w:spacing w:line="360" w:lineRule="auto"/>
              <w:jc w:val="left"/>
              <w:rPr>
                <w:rFonts w:ascii="宋体" w:hAnsi="宋体"/>
                <w:color w:val="000000"/>
                <w:kern w:val="0"/>
                <w:szCs w:val="21"/>
              </w:rPr>
            </w:pPr>
            <w:r>
              <w:rPr>
                <w:rFonts w:hint="eastAsia" w:ascii="宋体" w:hAnsi="宋体"/>
                <w:color w:val="000000"/>
                <w:kern w:val="0"/>
                <w:szCs w:val="21"/>
              </w:rPr>
              <w:t>2G</w:t>
            </w:r>
            <w:r>
              <w:rPr>
                <w:rFonts w:ascii="宋体" w:hAnsi="宋体"/>
                <w:color w:val="000000"/>
                <w:kern w:val="0"/>
                <w:szCs w:val="21"/>
              </w:rPr>
              <w:t xml:space="preserve"> cache 4*73GB </w:t>
            </w:r>
            <w:r>
              <w:rPr>
                <w:rFonts w:hint="eastAsia" w:ascii="宋体" w:hAnsi="宋体"/>
                <w:color w:val="000000"/>
                <w:kern w:val="0"/>
                <w:szCs w:val="21"/>
              </w:rPr>
              <w:t>硬盘</w:t>
            </w:r>
          </w:p>
        </w:tc>
        <w:tc>
          <w:tcPr>
            <w:tcW w:w="765" w:type="dxa"/>
            <w:tcMar>
              <w:top w:w="60" w:type="dxa"/>
              <w:left w:w="60" w:type="dxa"/>
              <w:bottom w:w="60" w:type="dxa"/>
              <w:right w:w="60" w:type="dxa"/>
            </w:tcMar>
          </w:tcPr>
          <w:p>
            <w:pPr>
              <w:widowControl/>
              <w:spacing w:line="360" w:lineRule="auto"/>
              <w:jc w:val="center"/>
              <w:rPr>
                <w:rFonts w:ascii="宋体" w:hAnsi="宋体"/>
                <w:kern w:val="0"/>
                <w:szCs w:val="21"/>
              </w:rPr>
            </w:pPr>
            <w:r>
              <w:rPr>
                <w:rFonts w:hint="eastAsia" w:ascii="宋体" w:hAnsi="宋体"/>
                <w:kern w:val="0"/>
                <w:szCs w:val="21"/>
              </w:rPr>
              <w:t>台</w:t>
            </w:r>
          </w:p>
        </w:tc>
        <w:tc>
          <w:tcPr>
            <w:tcW w:w="900" w:type="dxa"/>
            <w:tcMar>
              <w:top w:w="60" w:type="dxa"/>
              <w:left w:w="60" w:type="dxa"/>
              <w:bottom w:w="60" w:type="dxa"/>
              <w:right w:w="60" w:type="dxa"/>
            </w:tcMar>
          </w:tcPr>
          <w:p>
            <w:pPr>
              <w:widowControl/>
              <w:spacing w:line="360" w:lineRule="auto"/>
              <w:jc w:val="center"/>
              <w:rPr>
                <w:rFonts w:ascii="宋体" w:hAnsi="宋体"/>
                <w:kern w:val="0"/>
                <w:szCs w:val="21"/>
              </w:rPr>
            </w:pPr>
            <w:r>
              <w:rPr>
                <w:rFonts w:ascii="宋体" w:hAnsi="宋体"/>
                <w:kern w:val="0"/>
                <w:szCs w:val="21"/>
              </w:rPr>
              <w:t>1</w:t>
            </w:r>
          </w:p>
        </w:tc>
        <w:tc>
          <w:tcPr>
            <w:tcW w:w="2655" w:type="dxa"/>
            <w:tcMar>
              <w:top w:w="60" w:type="dxa"/>
              <w:left w:w="60" w:type="dxa"/>
              <w:bottom w:w="60" w:type="dxa"/>
              <w:right w:w="60" w:type="dxa"/>
            </w:tcMar>
          </w:tcPr>
          <w:p>
            <w:pPr>
              <w:widowControl/>
              <w:spacing w:line="360" w:lineRule="auto"/>
              <w:jc w:val="left"/>
              <w:rPr>
                <w:rFonts w:ascii="宋体" w:hAnsi="宋体"/>
                <w:kern w:val="0"/>
                <w:szCs w:val="21"/>
              </w:rPr>
            </w:pPr>
            <w:r>
              <w:rPr>
                <w:rFonts w:hint="eastAsia" w:ascii="宋体" w:hAnsi="宋体"/>
                <w:kern w:val="0"/>
                <w:szCs w:val="21"/>
              </w:rPr>
              <w:t>交换</w:t>
            </w:r>
            <w:r>
              <w:rPr>
                <w:rFonts w:ascii="宋体" w:hAnsi="宋体"/>
                <w:kern w:val="0"/>
                <w:szCs w:val="21"/>
              </w:rPr>
              <w:t>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0" w:hRule="atLeast"/>
        </w:trPr>
        <w:tc>
          <w:tcPr>
            <w:tcW w:w="855" w:type="dxa"/>
            <w:tcMar>
              <w:top w:w="60" w:type="dxa"/>
              <w:left w:w="60" w:type="dxa"/>
              <w:bottom w:w="60" w:type="dxa"/>
              <w:right w:w="60" w:type="dxa"/>
            </w:tcMar>
          </w:tcPr>
          <w:p>
            <w:pPr>
              <w:widowControl/>
              <w:spacing w:line="360" w:lineRule="auto"/>
              <w:jc w:val="left"/>
              <w:rPr>
                <w:rFonts w:ascii="宋体" w:hAnsi="宋体"/>
                <w:kern w:val="0"/>
                <w:szCs w:val="21"/>
              </w:rPr>
            </w:pPr>
            <w:r>
              <w:rPr>
                <w:rFonts w:hint="eastAsia" w:ascii="宋体" w:hAnsi="宋体"/>
                <w:kern w:val="0"/>
                <w:szCs w:val="21"/>
              </w:rPr>
              <w:t>1</w:t>
            </w:r>
            <w:r>
              <w:rPr>
                <w:rFonts w:ascii="宋体" w:hAnsi="宋体"/>
                <w:kern w:val="0"/>
                <w:szCs w:val="21"/>
              </w:rPr>
              <w:t>1</w:t>
            </w:r>
          </w:p>
        </w:tc>
        <w:tc>
          <w:tcPr>
            <w:tcW w:w="1794" w:type="dxa"/>
            <w:tcMar>
              <w:top w:w="60" w:type="dxa"/>
              <w:left w:w="60" w:type="dxa"/>
              <w:bottom w:w="60" w:type="dxa"/>
              <w:right w:w="60" w:type="dxa"/>
            </w:tcMar>
          </w:tcPr>
          <w:p>
            <w:pPr>
              <w:widowControl/>
              <w:spacing w:line="360" w:lineRule="auto"/>
              <w:jc w:val="left"/>
              <w:rPr>
                <w:rFonts w:ascii="宋体" w:hAnsi="宋体"/>
                <w:color w:val="000000"/>
                <w:kern w:val="0"/>
                <w:szCs w:val="21"/>
              </w:rPr>
            </w:pPr>
            <w:r>
              <w:rPr>
                <w:rFonts w:hint="eastAsia" w:ascii="宋体" w:hAnsi="宋体"/>
                <w:color w:val="000000"/>
                <w:kern w:val="0"/>
                <w:szCs w:val="21"/>
              </w:rPr>
              <w:t>IBM Message Broker软件</w:t>
            </w:r>
          </w:p>
        </w:tc>
        <w:tc>
          <w:tcPr>
            <w:tcW w:w="2241" w:type="dxa"/>
            <w:tcMar>
              <w:top w:w="60" w:type="dxa"/>
              <w:left w:w="60" w:type="dxa"/>
              <w:bottom w:w="60" w:type="dxa"/>
              <w:right w:w="60" w:type="dxa"/>
            </w:tcMar>
          </w:tcPr>
          <w:p>
            <w:pPr>
              <w:widowControl/>
              <w:spacing w:line="360" w:lineRule="auto"/>
              <w:jc w:val="left"/>
              <w:rPr>
                <w:rFonts w:ascii="宋体" w:hAnsi="宋体"/>
                <w:color w:val="000000"/>
                <w:kern w:val="0"/>
                <w:szCs w:val="21"/>
              </w:rPr>
            </w:pPr>
            <w:r>
              <w:rPr>
                <w:rFonts w:hint="eastAsia" w:ascii="宋体" w:hAnsi="宋体"/>
                <w:color w:val="000000"/>
                <w:kern w:val="0"/>
                <w:szCs w:val="21"/>
              </w:rPr>
              <w:t>7.0</w:t>
            </w:r>
          </w:p>
        </w:tc>
        <w:tc>
          <w:tcPr>
            <w:tcW w:w="765" w:type="dxa"/>
            <w:tcMar>
              <w:top w:w="60" w:type="dxa"/>
              <w:left w:w="60" w:type="dxa"/>
              <w:bottom w:w="60" w:type="dxa"/>
              <w:right w:w="60" w:type="dxa"/>
            </w:tcMar>
          </w:tcPr>
          <w:p>
            <w:pPr>
              <w:widowControl/>
              <w:spacing w:line="360" w:lineRule="auto"/>
              <w:jc w:val="center"/>
              <w:rPr>
                <w:rFonts w:ascii="宋体" w:hAnsi="宋体"/>
                <w:kern w:val="0"/>
                <w:szCs w:val="21"/>
              </w:rPr>
            </w:pPr>
            <w:r>
              <w:rPr>
                <w:rFonts w:hint="eastAsia" w:ascii="宋体" w:hAnsi="宋体"/>
                <w:kern w:val="0"/>
                <w:szCs w:val="21"/>
              </w:rPr>
              <w:t>套</w:t>
            </w:r>
          </w:p>
        </w:tc>
        <w:tc>
          <w:tcPr>
            <w:tcW w:w="900" w:type="dxa"/>
            <w:tcMar>
              <w:top w:w="60" w:type="dxa"/>
              <w:left w:w="60" w:type="dxa"/>
              <w:bottom w:w="60" w:type="dxa"/>
              <w:right w:w="60" w:type="dxa"/>
            </w:tcMar>
          </w:tcPr>
          <w:p>
            <w:pPr>
              <w:widowControl/>
              <w:spacing w:line="360" w:lineRule="auto"/>
              <w:jc w:val="center"/>
              <w:rPr>
                <w:rFonts w:ascii="宋体" w:hAnsi="宋体"/>
                <w:kern w:val="0"/>
                <w:szCs w:val="21"/>
              </w:rPr>
            </w:pPr>
            <w:r>
              <w:rPr>
                <w:rFonts w:hint="eastAsia" w:ascii="宋体" w:hAnsi="宋体"/>
                <w:kern w:val="0"/>
                <w:szCs w:val="21"/>
              </w:rPr>
              <w:t>1</w:t>
            </w:r>
          </w:p>
        </w:tc>
        <w:tc>
          <w:tcPr>
            <w:tcW w:w="2655" w:type="dxa"/>
            <w:tcMar>
              <w:top w:w="60" w:type="dxa"/>
              <w:left w:w="60" w:type="dxa"/>
              <w:bottom w:w="60" w:type="dxa"/>
              <w:right w:w="60" w:type="dxa"/>
            </w:tcMar>
          </w:tcPr>
          <w:p>
            <w:pPr>
              <w:widowControl/>
              <w:spacing w:line="360" w:lineRule="auto"/>
              <w:jc w:val="left"/>
              <w:rPr>
                <w:rFonts w:ascii="宋体" w:hAnsi="宋体"/>
                <w:kern w:val="0"/>
                <w:szCs w:val="21"/>
              </w:rPr>
            </w:pPr>
            <w:r>
              <w:rPr>
                <w:rFonts w:hint="eastAsia" w:ascii="宋体" w:hAnsi="宋体"/>
                <w:kern w:val="0"/>
                <w:szCs w:val="21"/>
              </w:rPr>
              <w:t>交换</w:t>
            </w:r>
            <w:r>
              <w:rPr>
                <w:rFonts w:ascii="宋体" w:hAnsi="宋体"/>
                <w:kern w:val="0"/>
                <w:szCs w:val="21"/>
              </w:rPr>
              <w:t>平台</w:t>
            </w:r>
          </w:p>
        </w:tc>
      </w:tr>
    </w:tbl>
    <w:p>
      <w:pPr>
        <w:spacing w:line="276" w:lineRule="auto"/>
        <w:rPr>
          <w:rFonts w:ascii="宋体" w:hAnsi="宋体"/>
          <w:sz w:val="22"/>
        </w:rPr>
      </w:pPr>
    </w:p>
    <w:p>
      <w:pPr>
        <w:pStyle w:val="135"/>
        <w:spacing w:line="276" w:lineRule="auto"/>
        <w:ind w:firstLine="442"/>
        <w:rPr>
          <w:rFonts w:ascii="宋体" w:hAnsi="宋体"/>
          <w:b/>
          <w:bCs/>
          <w:kern w:val="0"/>
          <w:sz w:val="22"/>
          <w:szCs w:val="22"/>
        </w:rPr>
      </w:pPr>
      <w:r>
        <w:rPr>
          <w:rFonts w:hint="eastAsia" w:ascii="宋体" w:hAnsi="宋体"/>
          <w:b/>
          <w:bCs/>
          <w:kern w:val="0"/>
          <w:sz w:val="22"/>
          <w:szCs w:val="22"/>
        </w:rPr>
        <w:t>二、维保要求</w:t>
      </w:r>
    </w:p>
    <w:p>
      <w:pPr>
        <w:pStyle w:val="135"/>
        <w:spacing w:line="276" w:lineRule="auto"/>
        <w:ind w:firstLine="442"/>
        <w:rPr>
          <w:rFonts w:ascii="宋体" w:hAnsi="宋体"/>
          <w:b/>
          <w:sz w:val="22"/>
        </w:rPr>
      </w:pPr>
      <w:r>
        <w:rPr>
          <w:rFonts w:hint="eastAsia" w:ascii="宋体" w:hAnsi="宋体"/>
          <w:b/>
          <w:bCs/>
          <w:kern w:val="0"/>
          <w:sz w:val="22"/>
          <w:szCs w:val="22"/>
        </w:rPr>
        <w:t>1</w:t>
      </w:r>
      <w:r>
        <w:rPr>
          <w:rFonts w:ascii="宋体" w:hAnsi="宋体"/>
          <w:b/>
          <w:bCs/>
          <w:kern w:val="0"/>
          <w:sz w:val="22"/>
          <w:szCs w:val="22"/>
        </w:rPr>
        <w:t>.</w:t>
      </w:r>
      <w:r>
        <w:rPr>
          <w:rFonts w:hint="eastAsia" w:ascii="宋体" w:hAnsi="宋体"/>
          <w:b/>
          <w:bCs/>
          <w:kern w:val="0"/>
          <w:sz w:val="22"/>
          <w:szCs w:val="22"/>
        </w:rPr>
        <w:t>服务期：</w:t>
      </w:r>
      <w:r>
        <w:rPr>
          <w:rFonts w:hint="eastAsia" w:ascii="宋体" w:hAnsi="宋体" w:cs="仿宋_GB2312"/>
          <w:b/>
          <w:color w:val="0070C0"/>
          <w:szCs w:val="21"/>
        </w:rPr>
        <w:t>自合同生效之日起</w:t>
      </w:r>
      <w:r>
        <w:rPr>
          <w:rFonts w:hint="eastAsia" w:ascii="宋体" w:hAnsi="宋体"/>
          <w:b/>
          <w:bCs/>
          <w:kern w:val="0"/>
          <w:sz w:val="22"/>
          <w:szCs w:val="22"/>
        </w:rPr>
        <w:t>3</w:t>
      </w:r>
      <w:r>
        <w:rPr>
          <w:rFonts w:ascii="宋体" w:hAnsi="宋体"/>
          <w:b/>
          <w:bCs/>
          <w:kern w:val="0"/>
          <w:sz w:val="22"/>
          <w:szCs w:val="22"/>
        </w:rPr>
        <w:t>6</w:t>
      </w:r>
      <w:r>
        <w:rPr>
          <w:rFonts w:hint="eastAsia" w:ascii="宋体" w:hAnsi="宋体"/>
          <w:b/>
          <w:bCs/>
          <w:kern w:val="0"/>
          <w:sz w:val="22"/>
          <w:szCs w:val="22"/>
        </w:rPr>
        <w:t>个月。</w:t>
      </w:r>
    </w:p>
    <w:p>
      <w:pPr>
        <w:snapToGrid w:val="0"/>
        <w:spacing w:line="276" w:lineRule="auto"/>
        <w:ind w:firstLine="440" w:firstLineChars="200"/>
        <w:rPr>
          <w:rFonts w:ascii="宋体" w:hAnsi="宋体"/>
          <w:b/>
          <w:sz w:val="22"/>
        </w:rPr>
      </w:pPr>
    </w:p>
    <w:p>
      <w:pPr>
        <w:adjustRightInd w:val="0"/>
        <w:snapToGrid w:val="0"/>
        <w:spacing w:line="360" w:lineRule="exact"/>
        <w:ind w:firstLine="440" w:firstLineChars="200"/>
        <w:rPr>
          <w:rFonts w:ascii="宋体" w:hAnsi="宋体" w:cs="Calibri"/>
          <w:sz w:val="22"/>
        </w:rPr>
      </w:pPr>
      <w:r>
        <w:rPr>
          <w:rFonts w:hint="eastAsia" w:ascii="宋体" w:hAnsi="宋体"/>
          <w:b/>
          <w:sz w:val="22"/>
        </w:rPr>
        <w:t>2.项目实施人员要求</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本项目不得分包或转包。</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项目负责人：拟担任本项目负责人的专业素质、技术能力、经验、资质等情况，具有承担类似项目负责人的经历，具有相应资质证书，具有调动投标人各项资源能力，确保100%到位所采取的措施情况，项目负责人的资质、工作履历、工程实践证明资料、劳动合同和参保证明等情况（参考履历表和相关资料、证书等）。</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项目组实施人员：根据甲方系统实际运行环境，投标供应商工程师队伍中建议包含</w:t>
      </w:r>
      <w:r>
        <w:rPr>
          <w:rFonts w:ascii="宋体" w:hAnsi="宋体" w:cs="Calibri"/>
          <w:sz w:val="22"/>
        </w:rPr>
        <w:t>IBM</w:t>
      </w:r>
      <w:r>
        <w:rPr>
          <w:rFonts w:hint="eastAsia" w:ascii="宋体" w:hAnsi="宋体" w:cs="Calibri"/>
          <w:sz w:val="22"/>
        </w:rPr>
        <w:t>存储设备认证工程师1名、IBM CATE认证工程师2名，Oracle OCM认证工程师2名，具有相关类似项目对应的服务经验，项目组人员资质、工作履历、工程实践证明资料、劳动合同和参保证明等情况（参考履历表和相关资料、证书等）；</w:t>
      </w:r>
    </w:p>
    <w:p>
      <w:pPr>
        <w:adjustRightInd w:val="0"/>
        <w:snapToGrid w:val="0"/>
        <w:spacing w:line="360" w:lineRule="exact"/>
        <w:ind w:firstLine="440" w:firstLineChars="200"/>
        <w:rPr>
          <w:rFonts w:ascii="宋体" w:hAnsi="宋体"/>
          <w:sz w:val="22"/>
        </w:rPr>
      </w:pPr>
      <w:r>
        <w:rPr>
          <w:rFonts w:hint="eastAsia" w:ascii="宋体" w:hAnsi="宋体" w:cs="Calibri"/>
          <w:sz w:val="22"/>
        </w:rPr>
        <w:t>项目实施过程中，维保单位应严格按照投</w:t>
      </w:r>
      <w:r>
        <w:rPr>
          <w:rFonts w:hint="eastAsia" w:ascii="宋体" w:hAnsi="宋体"/>
          <w:sz w:val="22"/>
        </w:rPr>
        <w:t>标书中承诺提供的项目人员，不得随意更换。其中项目负责人和技术负责人必须全程参与本项目的实施过程，项目验收前无故不得更换。</w:t>
      </w:r>
    </w:p>
    <w:p>
      <w:pPr>
        <w:numPr>
          <w:ilvl w:val="0"/>
          <w:numId w:val="1"/>
        </w:numPr>
        <w:snapToGrid w:val="0"/>
        <w:spacing w:line="276" w:lineRule="auto"/>
        <w:ind w:firstLine="440" w:firstLineChars="200"/>
        <w:rPr>
          <w:rFonts w:ascii="宋体" w:hAnsi="宋体"/>
          <w:b/>
          <w:sz w:val="22"/>
        </w:rPr>
      </w:pPr>
      <w:r>
        <w:rPr>
          <w:rFonts w:hint="eastAsia" w:ascii="宋体" w:hAnsi="宋体"/>
          <w:b/>
          <w:sz w:val="22"/>
        </w:rPr>
        <w:t>服务及技术支持要求</w:t>
      </w:r>
    </w:p>
    <w:p>
      <w:pPr>
        <w:snapToGrid w:val="0"/>
        <w:spacing w:line="276" w:lineRule="auto"/>
        <w:ind w:firstLine="440" w:firstLineChars="200"/>
        <w:rPr>
          <w:rFonts w:ascii="宋体" w:hAnsi="宋体"/>
          <w:sz w:val="22"/>
        </w:rPr>
      </w:pPr>
      <w:r>
        <w:rPr>
          <w:rFonts w:hint="eastAsia" w:ascii="宋体" w:hAnsi="宋体"/>
          <w:sz w:val="22"/>
        </w:rPr>
        <w:t>服务要求至少应包括（不仅限于）下述内容：</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（一）原则：</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保密性原则：对服务过程中获知的任何用户方系统信息均属秘密信息，不得泄露给第三方单位或个人，不得利用这些信息进行任何侵害用户方系统的行为。</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规范性原则：服务的实施必须由专业的技术服务人员依照规范的操作流程进行，对操作过程和结果要有相应的记录，提供完整的服务报告。</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可控性原则：服务的工具、方法和过程要在双方认可的范围之内，保证客户对于服务过程的可控性。</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最小影响原则：服务工作应不能对现有业务的正常运行产生影响。</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（二）设备维保服务要求：</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1、杭州萧山国际机场存储设备维保服务的日常维护,包括采购人已有各类设备的日常故障处理、巡检、数据升级、恢复等技术支持。具体包括： </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2、电话基本服务</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提供7×24小时不间断热线电话支持服务，通过电话可以直接联络技术工程师，寻求问题的解决方案、技术文档以及技术指导，电话支持需及时响应。</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3、巡检服务</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巡检为客户提供现场设备检查服务，内容涉及到存储设备等所辖维保设备的各个方面，主要包含常见故障，性能管理，空间管理，对象管理，安全管理，备份管理等内容。巡检工作需提供一份内容详尽的巡检报告。巡检至少应每季度执行一次。</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4、现场技术支持</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投标人应提供的7×24小时技术支援请求应包括但不限于以下内容 </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存储设备日常维护，故障处理，并免费提供设备的备品和备件。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配合采购方进行维护范围内设备及数据库的故障应急方案预演，并提供预演所需的备品备件。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 5、培训</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针对项目所包含主机存储等内容，提供年度培训计划（一个年度培训计划应包括基础培训和专题培训）,至少可以参加12人天的培训课程，并可以在下一年度继续年度培训计划的剩余天数。</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投标人须有可靠的服务保障，能提供正常的技术、备品备件服务。拥有本地备件库，拥有主机、存储设备等本地备品备件库的投标人优先。</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投标人须向最终用户提供良好的技术支持。须要有专门队伍从事此项工作，并提供全天候的技术支持服务，对故障能在15分钟内响应，1小时内到达现场，2小时内解决或提供可行的故障解决方案。</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投标人应提出全套的技术支持方案。 </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在维保期间内设备非人为因素损坏所需的配件均需由投标人提供。投标人在报价时需根据采购人实际情况进行准确报价。</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如投标人在项目实施过程中未能按承诺的要求为采购人提供服务，采购人有权单方面解除合同，如因投标人原因造成损失的，采购人有权要求投标人赔偿相关损失。</w:t>
      </w:r>
    </w:p>
    <w:p>
      <w:pPr>
        <w:pStyle w:val="135"/>
        <w:spacing w:line="276" w:lineRule="auto"/>
        <w:ind w:firstLine="442"/>
        <w:rPr>
          <w:rFonts w:ascii="宋体" w:hAnsi="宋体"/>
          <w:b/>
          <w:bCs/>
          <w:kern w:val="0"/>
          <w:sz w:val="22"/>
          <w:szCs w:val="22"/>
        </w:rPr>
      </w:pPr>
      <w:r>
        <w:rPr>
          <w:rFonts w:hint="eastAsia" w:ascii="宋体" w:hAnsi="宋体"/>
          <w:b/>
          <w:bCs/>
          <w:kern w:val="0"/>
          <w:sz w:val="22"/>
          <w:szCs w:val="22"/>
        </w:rPr>
        <w:t>三、付款方式：</w:t>
      </w:r>
    </w:p>
    <w:p>
      <w:pPr>
        <w:pStyle w:val="3"/>
        <w:spacing w:before="0" w:after="0" w:line="276" w:lineRule="auto"/>
        <w:ind w:firstLine="442" w:firstLineChars="200"/>
        <w:rPr>
          <w:rFonts w:ascii="宋体" w:hAnsi="宋体" w:eastAsia="宋体"/>
          <w:sz w:val="22"/>
          <w:szCs w:val="22"/>
        </w:rPr>
      </w:pPr>
      <w:r>
        <w:rPr>
          <w:rFonts w:hint="eastAsia" w:ascii="宋体" w:hAnsi="宋体" w:eastAsia="宋体"/>
          <w:sz w:val="22"/>
          <w:szCs w:val="22"/>
        </w:rPr>
        <w:t>1.以每3个月为一个周期，每个周期满后的30天内，支付该周期的设备维保服务费；</w:t>
      </w:r>
    </w:p>
    <w:p>
      <w:pPr>
        <w:pStyle w:val="3"/>
        <w:spacing w:before="0" w:after="0" w:line="276" w:lineRule="auto"/>
        <w:ind w:firstLine="442" w:firstLineChars="200"/>
        <w:rPr>
          <w:rFonts w:ascii="宋体" w:hAnsi="宋体" w:eastAsia="宋体"/>
          <w:sz w:val="22"/>
          <w:szCs w:val="22"/>
        </w:rPr>
      </w:pPr>
      <w:r>
        <w:rPr>
          <w:rFonts w:hint="eastAsia" w:ascii="宋体" w:hAnsi="宋体" w:eastAsia="宋体"/>
          <w:sz w:val="22"/>
          <w:szCs w:val="22"/>
        </w:rPr>
        <w:t>3.每次付款结合该周期考核结果（考核方式详见合同附件），扣除违约金（如有）后支付。</w:t>
      </w:r>
    </w:p>
    <w:p>
      <w:pPr>
        <w:pStyle w:val="3"/>
        <w:spacing w:before="0" w:after="0" w:line="276" w:lineRule="auto"/>
        <w:ind w:firstLine="442" w:firstLineChars="200"/>
        <w:rPr>
          <w:rFonts w:ascii="宋体" w:hAnsi="宋体" w:eastAsia="宋体"/>
          <w:sz w:val="22"/>
          <w:szCs w:val="22"/>
        </w:rPr>
      </w:pPr>
      <w:r>
        <w:rPr>
          <w:rFonts w:hint="eastAsia" w:ascii="宋体" w:hAnsi="宋体" w:eastAsia="宋体"/>
          <w:sz w:val="22"/>
          <w:szCs w:val="22"/>
        </w:rPr>
        <w:t>2.维保单位需提供增值税专用发票。</w:t>
      </w:r>
    </w:p>
    <w:p/>
    <w:p>
      <w:pPr>
        <w:pStyle w:val="135"/>
        <w:spacing w:line="276" w:lineRule="auto"/>
        <w:ind w:firstLine="442"/>
        <w:rPr>
          <w:rFonts w:ascii="宋体" w:hAnsi="宋体"/>
          <w:b/>
          <w:sz w:val="22"/>
          <w:szCs w:val="22"/>
        </w:rPr>
      </w:pPr>
      <w:r>
        <w:rPr>
          <w:rFonts w:hint="eastAsia" w:ascii="宋体" w:hAnsi="宋体"/>
          <w:b/>
          <w:bCs/>
          <w:kern w:val="0"/>
          <w:sz w:val="22"/>
          <w:szCs w:val="22"/>
        </w:rPr>
        <w:t>四、</w:t>
      </w:r>
      <w:r>
        <w:rPr>
          <w:rFonts w:hint="eastAsia" w:ascii="宋体" w:hAnsi="宋体"/>
          <w:b/>
          <w:sz w:val="22"/>
          <w:szCs w:val="22"/>
          <w:u w:val="single"/>
        </w:rPr>
        <w:t>在合同有效期限内，若因国家税收政策调整而引起的增值税税率变化的，应按照国家税收政策调整，合同总金额变更为原合同不含增值税货物或劳务价格与调整后税率计算税额的合计金额。</w:t>
      </w:r>
    </w:p>
    <w:p>
      <w:pPr>
        <w:pStyle w:val="135"/>
        <w:spacing w:line="276" w:lineRule="auto"/>
        <w:ind w:firstLine="442"/>
        <w:rPr>
          <w:rFonts w:ascii="宋体" w:hAnsi="宋体"/>
          <w:b/>
          <w:sz w:val="22"/>
          <w:szCs w:val="22"/>
        </w:rPr>
      </w:pPr>
    </w:p>
    <w:p>
      <w:pPr>
        <w:widowControl/>
        <w:spacing w:line="276" w:lineRule="auto"/>
        <w:jc w:val="left"/>
        <w:rPr>
          <w:rFonts w:ascii="宋体" w:hAnsi="宋体" w:cs="Calibri"/>
          <w:b/>
          <w:bCs/>
          <w:kern w:val="0"/>
          <w:sz w:val="22"/>
        </w:rPr>
      </w:pPr>
      <w:bookmarkStart w:id="117" w:name="_GoBack"/>
      <w:bookmarkEnd w:id="117"/>
      <w:r>
        <w:rPr>
          <w:rFonts w:ascii="宋体" w:hAnsi="宋体" w:cs="Calibri"/>
          <w:b/>
          <w:bCs/>
          <w:kern w:val="0"/>
          <w:sz w:val="22"/>
        </w:rPr>
        <w:br w:type="page"/>
      </w:r>
    </w:p>
    <w:p>
      <w:pPr>
        <w:pStyle w:val="2"/>
        <w:spacing w:before="0" w:after="0" w:line="276" w:lineRule="auto"/>
        <w:jc w:val="center"/>
        <w:rPr>
          <w:rFonts w:ascii="宋体" w:hAnsi="宋体" w:cs="Calibri"/>
          <w:kern w:val="0"/>
          <w:sz w:val="22"/>
          <w:szCs w:val="22"/>
        </w:rPr>
      </w:pPr>
      <w:bookmarkStart w:id="113" w:name="_Toc448002986"/>
      <w:r>
        <w:rPr>
          <w:rFonts w:hint="eastAsia" w:ascii="宋体" w:hAnsi="宋体" w:cs="Calibri"/>
          <w:kern w:val="0"/>
          <w:sz w:val="22"/>
          <w:szCs w:val="22"/>
        </w:rPr>
        <w:t xml:space="preserve">第四章  </w:t>
      </w:r>
      <w:r>
        <w:rPr>
          <w:rFonts w:ascii="宋体" w:hAnsi="宋体" w:cs="Calibri"/>
          <w:kern w:val="0"/>
          <w:sz w:val="22"/>
          <w:szCs w:val="22"/>
        </w:rPr>
        <w:t>合同条款</w:t>
      </w:r>
      <w:bookmarkEnd w:id="113"/>
    </w:p>
    <w:p>
      <w:pPr>
        <w:spacing w:line="440" w:lineRule="exact"/>
        <w:ind w:firstLine="420" w:firstLineChars="200"/>
        <w:rPr>
          <w:rFonts w:ascii="宋体" w:hAnsi="宋体" w:cs="仿宋_GB2312"/>
          <w:szCs w:val="21"/>
        </w:rPr>
      </w:pPr>
    </w:p>
    <w:p>
      <w:pPr>
        <w:spacing w:line="440" w:lineRule="exact"/>
        <w:ind w:firstLine="720" w:firstLineChars="200"/>
        <w:jc w:val="center"/>
        <w:rPr>
          <w:rFonts w:ascii="方正小标宋简体" w:hAnsi="宋体" w:eastAsia="方正小标宋简体" w:cs="仿宋_GB2312"/>
          <w:sz w:val="36"/>
          <w:szCs w:val="36"/>
        </w:rPr>
      </w:pPr>
      <w:r>
        <w:rPr>
          <w:rFonts w:hint="eastAsia" w:ascii="方正小标宋简体" w:hAnsi="宋体" w:eastAsia="方正小标宋简体" w:cs="仿宋_GB2312"/>
          <w:sz w:val="36"/>
          <w:szCs w:val="36"/>
        </w:rPr>
        <w:t>管理信息系统设备维保项目合同</w:t>
      </w:r>
    </w:p>
    <w:p>
      <w:pPr>
        <w:spacing w:line="440" w:lineRule="exact"/>
        <w:ind w:firstLine="420" w:firstLineChars="200"/>
        <w:rPr>
          <w:rFonts w:ascii="宋体" w:hAnsi="宋体" w:cs="仿宋_GB2312"/>
          <w:szCs w:val="21"/>
        </w:rPr>
      </w:pPr>
    </w:p>
    <w:p>
      <w:pPr>
        <w:spacing w:line="440" w:lineRule="exact"/>
        <w:ind w:firstLine="420" w:firstLineChars="200"/>
        <w:jc w:val="left"/>
        <w:rPr>
          <w:rFonts w:ascii="宋体" w:hAnsi="宋体" w:cs="仿宋_GB2312"/>
          <w:szCs w:val="21"/>
        </w:rPr>
      </w:pPr>
      <w:r>
        <w:rPr>
          <w:rFonts w:hint="eastAsia" w:ascii="宋体" w:hAnsi="宋体" w:cs="仿宋_GB2312"/>
          <w:szCs w:val="21"/>
        </w:rPr>
        <w:t>甲方：（买方）杭州萧山国际机场有限公司</w:t>
      </w:r>
    </w:p>
    <w:p>
      <w:pPr>
        <w:spacing w:line="440" w:lineRule="exact"/>
        <w:ind w:firstLine="420" w:firstLineChars="200"/>
        <w:jc w:val="left"/>
        <w:rPr>
          <w:rFonts w:ascii="宋体" w:hAnsi="宋体" w:cs="仿宋_GB2312"/>
          <w:szCs w:val="21"/>
        </w:rPr>
      </w:pPr>
      <w:r>
        <w:rPr>
          <w:rFonts w:hint="eastAsia" w:ascii="宋体" w:hAnsi="宋体" w:cs="仿宋_GB2312"/>
          <w:szCs w:val="21"/>
        </w:rPr>
        <w:t>住所地：杭州萧山国际机场内</w:t>
      </w:r>
    </w:p>
    <w:p>
      <w:pPr>
        <w:spacing w:line="440" w:lineRule="exact"/>
        <w:ind w:firstLine="420" w:firstLineChars="200"/>
        <w:jc w:val="left"/>
        <w:rPr>
          <w:rFonts w:ascii="宋体" w:hAnsi="宋体" w:cs="仿宋_GB2312"/>
          <w:szCs w:val="21"/>
        </w:rPr>
      </w:pPr>
    </w:p>
    <w:p>
      <w:pPr>
        <w:spacing w:line="440" w:lineRule="exact"/>
        <w:ind w:firstLine="420" w:firstLineChars="200"/>
        <w:jc w:val="left"/>
        <w:rPr>
          <w:rFonts w:ascii="宋体" w:hAnsi="宋体" w:cs="仿宋_GB2312"/>
          <w:szCs w:val="21"/>
        </w:rPr>
      </w:pPr>
      <w:r>
        <w:rPr>
          <w:rFonts w:hint="eastAsia" w:ascii="宋体" w:hAnsi="宋体" w:cs="仿宋_GB2312"/>
          <w:szCs w:val="21"/>
        </w:rPr>
        <w:t>乙方：（卖方）</w:t>
      </w:r>
      <w:r>
        <w:rPr>
          <w:rFonts w:hint="eastAsia" w:ascii="宋体" w:hAnsi="宋体" w:cs="仿宋_GB2312"/>
          <w:szCs w:val="21"/>
          <w:u w:val="single"/>
        </w:rPr>
        <w:t xml:space="preserve"> </w:t>
      </w:r>
      <w:r>
        <w:rPr>
          <w:rFonts w:ascii="宋体" w:hAnsi="宋体" w:cs="仿宋_GB2312"/>
          <w:szCs w:val="21"/>
          <w:u w:val="single"/>
        </w:rPr>
        <w:t xml:space="preserve">                             </w:t>
      </w:r>
    </w:p>
    <w:p>
      <w:pPr>
        <w:spacing w:line="440" w:lineRule="exact"/>
        <w:ind w:firstLine="420" w:firstLineChars="200"/>
        <w:jc w:val="left"/>
        <w:rPr>
          <w:rFonts w:ascii="宋体" w:hAnsi="宋体" w:cs="仿宋_GB2312"/>
          <w:szCs w:val="21"/>
        </w:rPr>
      </w:pPr>
      <w:r>
        <w:rPr>
          <w:rFonts w:hint="eastAsia" w:ascii="宋体" w:hAnsi="宋体" w:cs="仿宋_GB2312"/>
          <w:szCs w:val="21"/>
        </w:rPr>
        <w:t>住所地：</w:t>
      </w:r>
      <w:r>
        <w:rPr>
          <w:rFonts w:hint="eastAsia" w:ascii="宋体" w:hAnsi="宋体" w:cs="仿宋_GB2312"/>
          <w:szCs w:val="21"/>
          <w:u w:val="single"/>
        </w:rPr>
        <w:t xml:space="preserve"> </w:t>
      </w:r>
      <w:r>
        <w:rPr>
          <w:rFonts w:ascii="宋体" w:hAnsi="宋体" w:cs="仿宋_GB2312"/>
          <w:szCs w:val="21"/>
          <w:u w:val="single"/>
        </w:rPr>
        <w:t xml:space="preserve">                                   </w:t>
      </w:r>
    </w:p>
    <w:p>
      <w:pPr>
        <w:ind w:firstLine="420" w:firstLineChars="200"/>
        <w:rPr>
          <w:rFonts w:ascii="宋体" w:hAnsi="宋体" w:cs="仿宋_GB2312"/>
          <w:szCs w:val="21"/>
        </w:rPr>
      </w:pPr>
      <w:r>
        <w:rPr>
          <w:rFonts w:hint="eastAsia" w:ascii="宋体" w:hAnsi="宋体" w:cs="仿宋_GB2312"/>
          <w:szCs w:val="21"/>
        </w:rPr>
        <w:t xml:space="preserve"> </w:t>
      </w:r>
    </w:p>
    <w:p>
      <w:pPr>
        <w:adjustRightInd w:val="0"/>
        <w:snapToGrid w:val="0"/>
        <w:spacing w:line="360" w:lineRule="auto"/>
        <w:ind w:firstLine="420" w:firstLineChars="200"/>
        <w:jc w:val="left"/>
        <w:rPr>
          <w:szCs w:val="21"/>
        </w:rPr>
      </w:pPr>
      <w:r>
        <w:rPr>
          <w:rFonts w:hint="eastAsia"/>
          <w:szCs w:val="21"/>
        </w:rPr>
        <w:t>甲、乙双方根据《中华人民共和国合同法》等相关法律法规，就乙</w:t>
      </w:r>
      <w:r>
        <w:rPr>
          <w:rFonts w:hint="eastAsia"/>
          <w:b/>
          <w:szCs w:val="21"/>
          <w:u w:val="single"/>
        </w:rPr>
        <w:t>方向甲方提供 管理信息系统设备维保</w:t>
      </w:r>
      <w:r>
        <w:rPr>
          <w:rFonts w:hint="eastAsia"/>
          <w:szCs w:val="21"/>
        </w:rPr>
        <w:t>事宜，在互利、平等的原则基础上，经协商一致，特签订本合同，以共同遵守。</w:t>
      </w:r>
    </w:p>
    <w:p>
      <w:pPr>
        <w:adjustRightInd w:val="0"/>
        <w:snapToGrid w:val="0"/>
        <w:spacing w:line="360" w:lineRule="auto"/>
        <w:ind w:firstLine="602"/>
        <w:jc w:val="left"/>
        <w:outlineLvl w:val="0"/>
        <w:rPr>
          <w:b/>
          <w:szCs w:val="21"/>
        </w:rPr>
      </w:pPr>
      <w:r>
        <w:rPr>
          <w:rFonts w:hint="eastAsia"/>
          <w:b/>
          <w:szCs w:val="21"/>
        </w:rPr>
        <w:t>一、服务内容及要求</w:t>
      </w:r>
    </w:p>
    <w:p>
      <w:pPr>
        <w:pStyle w:val="146"/>
        <w:tabs>
          <w:tab w:val="left" w:pos="360"/>
        </w:tabs>
        <w:spacing w:line="360" w:lineRule="auto"/>
        <w:ind w:firstLine="420"/>
        <w:jc w:val="left"/>
        <w:rPr>
          <w:rFonts w:ascii="Calibri" w:eastAsia="宋体"/>
          <w:sz w:val="21"/>
          <w:szCs w:val="21"/>
        </w:rPr>
      </w:pPr>
      <w:r>
        <w:rPr>
          <w:rFonts w:hint="eastAsia" w:ascii="Calibri" w:eastAsia="宋体"/>
          <w:sz w:val="21"/>
          <w:szCs w:val="21"/>
        </w:rPr>
        <w:t>1.服务范围：见招标文件</w:t>
      </w:r>
    </w:p>
    <w:p>
      <w:pPr>
        <w:pStyle w:val="146"/>
        <w:tabs>
          <w:tab w:val="left" w:pos="360"/>
        </w:tabs>
        <w:spacing w:line="360" w:lineRule="auto"/>
        <w:ind w:firstLine="420"/>
        <w:jc w:val="left"/>
        <w:rPr>
          <w:rFonts w:ascii="Calibri" w:eastAsia="宋体"/>
          <w:sz w:val="21"/>
          <w:szCs w:val="21"/>
        </w:rPr>
      </w:pPr>
      <w:r>
        <w:rPr>
          <w:rFonts w:hint="eastAsia" w:ascii="Calibri" w:eastAsia="宋体"/>
          <w:sz w:val="21"/>
          <w:szCs w:val="21"/>
        </w:rPr>
        <w:t>2.</w:t>
      </w:r>
      <w:r>
        <w:rPr>
          <w:rFonts w:ascii="Calibri" w:eastAsia="宋体"/>
          <w:sz w:val="21"/>
          <w:szCs w:val="21"/>
        </w:rPr>
        <w:t>维保</w:t>
      </w:r>
      <w:r>
        <w:rPr>
          <w:rFonts w:hint="eastAsia" w:ascii="Calibri" w:eastAsia="宋体"/>
          <w:sz w:val="21"/>
          <w:szCs w:val="21"/>
        </w:rPr>
        <w:t>设备清单</w:t>
      </w:r>
      <w:r>
        <w:rPr>
          <w:rFonts w:ascii="Calibri" w:eastAsia="宋体"/>
          <w:sz w:val="21"/>
          <w:szCs w:val="21"/>
        </w:rPr>
        <w:t xml:space="preserve"> </w:t>
      </w:r>
      <w:r>
        <w:rPr>
          <w:rFonts w:hint="eastAsia" w:ascii="Calibri" w:eastAsia="宋体"/>
          <w:sz w:val="21"/>
          <w:szCs w:val="21"/>
        </w:rPr>
        <w:t>：见招标文件</w:t>
      </w:r>
    </w:p>
    <w:p>
      <w:pPr>
        <w:pStyle w:val="146"/>
        <w:tabs>
          <w:tab w:val="left" w:pos="360"/>
        </w:tabs>
        <w:spacing w:line="360" w:lineRule="auto"/>
        <w:ind w:firstLine="420"/>
        <w:rPr>
          <w:rFonts w:ascii="Calibri" w:eastAsia="宋体"/>
          <w:sz w:val="21"/>
          <w:szCs w:val="21"/>
        </w:rPr>
      </w:pPr>
      <w:r>
        <w:rPr>
          <w:rFonts w:hint="eastAsia" w:ascii="Calibri" w:eastAsia="宋体"/>
          <w:sz w:val="21"/>
          <w:szCs w:val="21"/>
        </w:rPr>
        <w:t>3.服务要求</w:t>
      </w:r>
    </w:p>
    <w:p>
      <w:pPr>
        <w:spacing w:line="360" w:lineRule="auto"/>
        <w:ind w:firstLine="403" w:firstLineChars="192"/>
        <w:jc w:val="left"/>
        <w:rPr>
          <w:szCs w:val="21"/>
        </w:rPr>
      </w:pPr>
      <w:r>
        <w:rPr>
          <w:rFonts w:hint="eastAsia"/>
          <w:szCs w:val="21"/>
        </w:rPr>
        <w:t>（一）原则：</w:t>
      </w:r>
    </w:p>
    <w:p>
      <w:pPr>
        <w:spacing w:line="360" w:lineRule="auto"/>
        <w:ind w:firstLine="403" w:firstLineChars="192"/>
        <w:jc w:val="left"/>
        <w:rPr>
          <w:szCs w:val="21"/>
        </w:rPr>
      </w:pPr>
      <w:r>
        <w:rPr>
          <w:rFonts w:hint="eastAsia"/>
          <w:szCs w:val="21"/>
        </w:rPr>
        <w:t>保密性原则：对服务过程中获知的任何用户方系统信息均属秘密信息，不得泄露给第三方单位或个人，不得利用这些信息进行任何侵害用户方系统的行为。</w:t>
      </w:r>
    </w:p>
    <w:p>
      <w:pPr>
        <w:spacing w:line="360" w:lineRule="auto"/>
        <w:ind w:firstLine="403" w:firstLineChars="192"/>
        <w:jc w:val="left"/>
        <w:rPr>
          <w:szCs w:val="21"/>
        </w:rPr>
      </w:pPr>
      <w:r>
        <w:rPr>
          <w:rFonts w:hint="eastAsia"/>
          <w:szCs w:val="21"/>
        </w:rPr>
        <w:t>规范性原则：服务的实施必须由专业的技术服务人员依照规范的操作流程进行，对操作过程和结果要有相应的记录，提供完整的服务报告。</w:t>
      </w:r>
    </w:p>
    <w:p>
      <w:pPr>
        <w:spacing w:line="360" w:lineRule="auto"/>
        <w:ind w:firstLine="403" w:firstLineChars="192"/>
        <w:jc w:val="left"/>
        <w:rPr>
          <w:szCs w:val="21"/>
        </w:rPr>
      </w:pPr>
      <w:r>
        <w:rPr>
          <w:rFonts w:hint="eastAsia"/>
          <w:szCs w:val="21"/>
        </w:rPr>
        <w:t>可控性原则：服务的工具、方法和过程要在双方认可的范围之内，保证客户对于服务过程的可控性。</w:t>
      </w:r>
    </w:p>
    <w:p>
      <w:pPr>
        <w:spacing w:line="360" w:lineRule="auto"/>
        <w:ind w:firstLine="403" w:firstLineChars="192"/>
        <w:jc w:val="left"/>
        <w:rPr>
          <w:szCs w:val="21"/>
        </w:rPr>
      </w:pPr>
      <w:r>
        <w:rPr>
          <w:rFonts w:hint="eastAsia"/>
          <w:szCs w:val="21"/>
        </w:rPr>
        <w:t>最小影响原则：服务工作应不能对现有业务的正常运行产生影响。</w:t>
      </w:r>
    </w:p>
    <w:p>
      <w:pPr>
        <w:spacing w:line="360" w:lineRule="auto"/>
        <w:ind w:firstLine="403" w:firstLineChars="192"/>
        <w:jc w:val="left"/>
        <w:rPr>
          <w:szCs w:val="21"/>
        </w:rPr>
      </w:pPr>
      <w:r>
        <w:rPr>
          <w:rFonts w:hint="eastAsia"/>
          <w:szCs w:val="21"/>
        </w:rPr>
        <w:t>（二）设备维保服务要求：详见附件</w:t>
      </w:r>
      <w:r>
        <w:rPr>
          <w:szCs w:val="21"/>
        </w:rPr>
        <w:t>5：维保服务的工作内容及方案</w:t>
      </w:r>
    </w:p>
    <w:p>
      <w:pPr>
        <w:spacing w:line="360" w:lineRule="auto"/>
        <w:ind w:firstLine="403" w:firstLineChars="192"/>
        <w:jc w:val="left"/>
        <w:rPr>
          <w:szCs w:val="21"/>
        </w:rPr>
      </w:pPr>
      <w:r>
        <w:rPr>
          <w:rFonts w:hint="eastAsia"/>
          <w:szCs w:val="21"/>
        </w:rPr>
        <w:t xml:space="preserve"> </w:t>
      </w:r>
    </w:p>
    <w:p>
      <w:pPr>
        <w:adjustRightInd w:val="0"/>
        <w:snapToGrid w:val="0"/>
        <w:spacing w:line="360" w:lineRule="auto"/>
        <w:ind w:firstLine="602"/>
        <w:jc w:val="left"/>
        <w:outlineLvl w:val="0"/>
        <w:rPr>
          <w:b/>
          <w:szCs w:val="21"/>
        </w:rPr>
      </w:pPr>
      <w:r>
        <w:rPr>
          <w:rFonts w:hint="eastAsia"/>
          <w:b/>
          <w:szCs w:val="21"/>
        </w:rPr>
        <w:t>二、合同金额</w:t>
      </w:r>
    </w:p>
    <w:p>
      <w:pPr>
        <w:spacing w:line="360" w:lineRule="auto"/>
        <w:ind w:firstLine="403" w:firstLineChars="192"/>
        <w:jc w:val="left"/>
        <w:rPr>
          <w:szCs w:val="21"/>
        </w:rPr>
      </w:pPr>
      <w:r>
        <w:rPr>
          <w:rFonts w:hint="eastAsia"/>
          <w:szCs w:val="21"/>
        </w:rPr>
        <w:t>本合同金额为（大写）：</w:t>
      </w:r>
      <w:r>
        <w:rPr>
          <w:rFonts w:hint="eastAsia"/>
          <w:b/>
          <w:szCs w:val="21"/>
          <w:u w:val="single"/>
        </w:rPr>
        <w:t xml:space="preserve"> </w:t>
      </w:r>
      <w:r>
        <w:rPr>
          <w:b/>
          <w:szCs w:val="21"/>
          <w:u w:val="single"/>
        </w:rPr>
        <w:t xml:space="preserve">           </w:t>
      </w:r>
      <w:r>
        <w:rPr>
          <w:rFonts w:hint="eastAsia"/>
          <w:b/>
          <w:szCs w:val="21"/>
          <w:u w:val="single"/>
        </w:rPr>
        <w:t>元整（</w:t>
      </w:r>
      <w:r>
        <w:rPr>
          <w:b/>
          <w:szCs w:val="21"/>
          <w:u w:val="single"/>
        </w:rPr>
        <w:t xml:space="preserve">¥             </w:t>
      </w:r>
      <w:r>
        <w:rPr>
          <w:rFonts w:hint="eastAsia"/>
          <w:b/>
          <w:szCs w:val="21"/>
          <w:u w:val="single"/>
        </w:rPr>
        <w:t>元）人民币。</w:t>
      </w:r>
      <w:r>
        <w:rPr>
          <w:rFonts w:hint="eastAsia"/>
          <w:szCs w:val="21"/>
        </w:rPr>
        <w:t>本合同价含维保服务费、备品备件、运输费、包装费、保险费、税费等所有费用。甲方不再承担其他任何费用。</w:t>
      </w:r>
    </w:p>
    <w:p>
      <w:pPr>
        <w:ind w:firstLine="420" w:firstLineChars="200"/>
        <w:rPr>
          <w:rFonts w:ascii="宋体" w:hAnsi="宋体"/>
          <w:color w:val="FF0000"/>
        </w:rPr>
      </w:pPr>
      <w:r>
        <w:rPr>
          <w:rFonts w:hint="eastAsia" w:ascii="宋体" w:hAnsi="宋体"/>
          <w:color w:val="FF0000"/>
        </w:rPr>
        <w:t>本合同价格为含税价，增值税税率为    %，如因国家税率调整，自相应新税率生效之日起，本合同约定的税率同步变更，合同标的价税合计金额及每周期应付款金额按照本合同约定的合同标的价格以及新税率重新计算并履行。</w:t>
      </w:r>
    </w:p>
    <w:p>
      <w:pPr>
        <w:spacing w:line="360" w:lineRule="auto"/>
        <w:ind w:firstLine="403" w:firstLineChars="192"/>
        <w:jc w:val="left"/>
        <w:rPr>
          <w:b/>
          <w:szCs w:val="21"/>
        </w:rPr>
      </w:pPr>
    </w:p>
    <w:p>
      <w:pPr>
        <w:adjustRightInd w:val="0"/>
        <w:snapToGrid w:val="0"/>
        <w:spacing w:line="360" w:lineRule="auto"/>
        <w:ind w:firstLine="602"/>
        <w:jc w:val="left"/>
        <w:outlineLvl w:val="0"/>
        <w:rPr>
          <w:b/>
          <w:szCs w:val="21"/>
        </w:rPr>
      </w:pPr>
      <w:r>
        <w:rPr>
          <w:rFonts w:hint="eastAsia"/>
          <w:b/>
          <w:szCs w:val="21"/>
        </w:rPr>
        <w:t>三、知识产权</w:t>
      </w:r>
    </w:p>
    <w:p>
      <w:pPr>
        <w:adjustRightInd w:val="0"/>
        <w:snapToGrid w:val="0"/>
        <w:spacing w:line="360" w:lineRule="auto"/>
        <w:ind w:firstLine="420" w:firstLineChars="200"/>
        <w:jc w:val="left"/>
        <w:rPr>
          <w:szCs w:val="21"/>
        </w:rPr>
      </w:pPr>
      <w:r>
        <w:rPr>
          <w:rFonts w:hint="eastAsia"/>
          <w:szCs w:val="21"/>
        </w:rPr>
        <w:t>乙方应保证所提供的维保服务或其任何一部分均不会侵犯任何第三方的知识产权。如因乙方违反本条保证并导致甲方遭受损失的，乙方须向甲方承担赔偿责任。</w:t>
      </w:r>
    </w:p>
    <w:p>
      <w:pPr>
        <w:adjustRightInd w:val="0"/>
        <w:snapToGrid w:val="0"/>
        <w:spacing w:line="360" w:lineRule="auto"/>
        <w:ind w:firstLine="630" w:firstLineChars="300"/>
        <w:jc w:val="left"/>
        <w:rPr>
          <w:b/>
          <w:szCs w:val="21"/>
        </w:rPr>
      </w:pPr>
      <w:r>
        <w:rPr>
          <w:rFonts w:hint="eastAsia"/>
          <w:b/>
          <w:szCs w:val="21"/>
        </w:rPr>
        <w:t>四、服务期:</w:t>
      </w:r>
      <w:r>
        <w:rPr>
          <w:b/>
          <w:szCs w:val="21"/>
        </w:rPr>
        <w:t xml:space="preserve"> </w:t>
      </w:r>
    </w:p>
    <w:p>
      <w:pPr>
        <w:spacing w:line="360" w:lineRule="auto"/>
        <w:rPr>
          <w:rFonts w:ascii="宋体" w:hAnsi="宋体"/>
          <w:b/>
          <w:sz w:val="22"/>
          <w:u w:val="single"/>
        </w:rPr>
      </w:pPr>
      <w:r>
        <w:rPr>
          <w:rFonts w:hint="eastAsia" w:ascii="宋体" w:hAnsi="宋体"/>
          <w:sz w:val="22"/>
        </w:rPr>
        <w:t xml:space="preserve">     本合同有效期限：</w:t>
      </w:r>
      <w:r>
        <w:rPr>
          <w:rFonts w:hint="eastAsia" w:ascii="宋体" w:hAnsi="宋体"/>
          <w:b/>
          <w:sz w:val="22"/>
          <w:u w:val="single"/>
        </w:rPr>
        <w:t>3</w:t>
      </w:r>
      <w:r>
        <w:rPr>
          <w:rFonts w:ascii="宋体" w:hAnsi="宋体"/>
          <w:b/>
          <w:sz w:val="22"/>
          <w:u w:val="single"/>
        </w:rPr>
        <w:t xml:space="preserve"> </w:t>
      </w:r>
      <w:r>
        <w:rPr>
          <w:rFonts w:hint="eastAsia" w:ascii="宋体" w:hAnsi="宋体"/>
          <w:b/>
          <w:sz w:val="22"/>
          <w:u w:val="single"/>
        </w:rPr>
        <w:t>年。</w:t>
      </w:r>
    </w:p>
    <w:p>
      <w:pPr>
        <w:spacing w:line="360" w:lineRule="auto"/>
        <w:rPr>
          <w:b/>
          <w:szCs w:val="21"/>
        </w:rPr>
      </w:pPr>
      <w:r>
        <w:rPr>
          <w:rFonts w:hint="eastAsia" w:ascii="宋体" w:hAnsi="宋体"/>
          <w:sz w:val="22"/>
        </w:rPr>
        <w:t xml:space="preserve">   </w:t>
      </w:r>
      <w:r>
        <w:rPr>
          <w:rFonts w:hint="eastAsia" w:ascii="宋体" w:hAnsi="宋体"/>
          <w:b/>
          <w:sz w:val="22"/>
        </w:rPr>
        <w:t xml:space="preserve">  五</w:t>
      </w:r>
      <w:r>
        <w:rPr>
          <w:rFonts w:hint="eastAsia"/>
          <w:b/>
          <w:szCs w:val="21"/>
        </w:rPr>
        <w:t>、服务费支付</w:t>
      </w:r>
    </w:p>
    <w:p>
      <w:pPr>
        <w:adjustRightInd w:val="0"/>
        <w:snapToGrid w:val="0"/>
        <w:spacing w:line="360" w:lineRule="auto"/>
        <w:ind w:firstLine="420" w:firstLineChars="200"/>
        <w:jc w:val="left"/>
        <w:rPr>
          <w:color w:val="FF0000"/>
          <w:szCs w:val="21"/>
        </w:rPr>
      </w:pPr>
      <w:r>
        <w:rPr>
          <w:rFonts w:hint="eastAsia"/>
          <w:color w:val="FF0000"/>
          <w:szCs w:val="21"/>
        </w:rPr>
        <w:t>合同</w:t>
      </w:r>
      <w:r>
        <w:rPr>
          <w:color w:val="FF0000"/>
          <w:szCs w:val="21"/>
        </w:rPr>
        <w:t>生效后，</w:t>
      </w:r>
      <w:r>
        <w:rPr>
          <w:color w:val="FF0000"/>
          <w:szCs w:val="21"/>
          <w:u w:val="single"/>
        </w:rPr>
        <w:t>以3</w:t>
      </w:r>
      <w:r>
        <w:rPr>
          <w:rFonts w:hint="eastAsia"/>
          <w:color w:val="FF0000"/>
          <w:szCs w:val="21"/>
          <w:u w:val="single"/>
        </w:rPr>
        <w:t>个月为</w:t>
      </w:r>
      <w:r>
        <w:rPr>
          <w:color w:val="FF0000"/>
          <w:szCs w:val="21"/>
          <w:u w:val="single"/>
        </w:rPr>
        <w:t>一个周期，</w:t>
      </w:r>
      <w:r>
        <w:rPr>
          <w:rFonts w:hint="eastAsia"/>
          <w:color w:val="FF0000"/>
          <w:szCs w:val="21"/>
          <w:u w:val="single"/>
        </w:rPr>
        <w:t>每个周期应付</w:t>
      </w:r>
      <w:r>
        <w:rPr>
          <w:color w:val="FF0000"/>
          <w:szCs w:val="21"/>
          <w:u w:val="single"/>
        </w:rPr>
        <w:t>服务费用为年服务费的25</w:t>
      </w:r>
      <w:r>
        <w:rPr>
          <w:rFonts w:hint="eastAsia"/>
          <w:color w:val="FF0000"/>
          <w:szCs w:val="21"/>
          <w:u w:val="single"/>
        </w:rPr>
        <w:t>%（即</w:t>
      </w:r>
      <w:r>
        <w:rPr>
          <w:color w:val="FF0000"/>
          <w:szCs w:val="21"/>
          <w:u w:val="single"/>
        </w:rPr>
        <w:t>¥      .000</w:t>
      </w:r>
      <w:r>
        <w:rPr>
          <w:rFonts w:hint="eastAsia"/>
          <w:color w:val="FF0000"/>
          <w:szCs w:val="21"/>
          <w:u w:val="single"/>
        </w:rPr>
        <w:t>元）。</w:t>
      </w:r>
      <w:r>
        <w:rPr>
          <w:rFonts w:hint="eastAsia"/>
          <w:color w:val="FF0000"/>
          <w:szCs w:val="21"/>
        </w:rPr>
        <w:t>每个周期期末且收到乙方开具的</w:t>
      </w:r>
      <w:r>
        <w:rPr>
          <w:rFonts w:hint="eastAsia"/>
          <w:color w:val="FF0000"/>
          <w:szCs w:val="21"/>
          <w:u w:val="single"/>
        </w:rPr>
        <w:t>税率为</w:t>
      </w:r>
      <w:r>
        <w:rPr>
          <w:color w:val="FF0000"/>
          <w:szCs w:val="21"/>
          <w:u w:val="single"/>
        </w:rPr>
        <w:t xml:space="preserve">        </w:t>
      </w:r>
      <w:r>
        <w:rPr>
          <w:rFonts w:hint="eastAsia"/>
          <w:color w:val="FF0000"/>
          <w:szCs w:val="21"/>
          <w:u w:val="single"/>
        </w:rPr>
        <w:t>%</w:t>
      </w:r>
      <w:r>
        <w:rPr>
          <w:rFonts w:hint="eastAsia"/>
          <w:color w:val="FF0000"/>
          <w:szCs w:val="21"/>
        </w:rPr>
        <w:t>增值税专用发票后3</w:t>
      </w:r>
      <w:r>
        <w:rPr>
          <w:color w:val="FF0000"/>
          <w:szCs w:val="21"/>
        </w:rPr>
        <w:t>0</w:t>
      </w:r>
      <w:r>
        <w:rPr>
          <w:rFonts w:hint="eastAsia"/>
          <w:color w:val="FF0000"/>
          <w:szCs w:val="21"/>
        </w:rPr>
        <w:t>天内</w:t>
      </w:r>
      <w:r>
        <w:rPr>
          <w:color w:val="FF0000"/>
          <w:szCs w:val="21"/>
        </w:rPr>
        <w:t>，</w:t>
      </w:r>
      <w:r>
        <w:rPr>
          <w:rFonts w:hint="eastAsia"/>
          <w:color w:val="FF0000"/>
          <w:szCs w:val="21"/>
        </w:rPr>
        <w:t>甲方</w:t>
      </w:r>
      <w:r>
        <w:rPr>
          <w:color w:val="FF0000"/>
          <w:szCs w:val="21"/>
        </w:rPr>
        <w:t>结合该周期内对乙方的考核结果支付乙方服务费</w:t>
      </w:r>
      <w:r>
        <w:rPr>
          <w:rFonts w:hint="eastAsia"/>
          <w:color w:val="FF0000"/>
          <w:szCs w:val="21"/>
        </w:rPr>
        <w:t>。考核表附后，详见合同附件《</w:t>
      </w:r>
      <w:r>
        <w:rPr>
          <w:rFonts w:ascii="宋体" w:hAnsi="宋体"/>
          <w:color w:val="FF0000"/>
        </w:rPr>
        <w:t>维保服务考核标准细则</w:t>
      </w:r>
      <w:r>
        <w:rPr>
          <w:rFonts w:hint="eastAsia"/>
          <w:color w:val="FF0000"/>
          <w:szCs w:val="21"/>
        </w:rPr>
        <w:t>》。</w:t>
      </w:r>
    </w:p>
    <w:p>
      <w:pPr>
        <w:adjustRightInd w:val="0"/>
        <w:snapToGrid w:val="0"/>
        <w:spacing w:line="360" w:lineRule="auto"/>
        <w:ind w:firstLine="602"/>
        <w:jc w:val="left"/>
        <w:outlineLvl w:val="0"/>
        <w:rPr>
          <w:b/>
          <w:szCs w:val="21"/>
        </w:rPr>
      </w:pPr>
      <w:r>
        <w:rPr>
          <w:rFonts w:hint="eastAsia"/>
          <w:b/>
          <w:szCs w:val="21"/>
        </w:rPr>
        <w:t>六、税费</w:t>
      </w:r>
    </w:p>
    <w:p>
      <w:pPr>
        <w:adjustRightInd w:val="0"/>
        <w:snapToGrid w:val="0"/>
        <w:spacing w:line="360" w:lineRule="auto"/>
        <w:ind w:firstLine="420" w:firstLineChars="200"/>
        <w:jc w:val="left"/>
        <w:rPr>
          <w:szCs w:val="21"/>
        </w:rPr>
      </w:pPr>
      <w:r>
        <w:rPr>
          <w:rFonts w:hint="eastAsia"/>
          <w:szCs w:val="21"/>
        </w:rPr>
        <w:t>本合同执行中相关的一切税费均由乙方负担。</w:t>
      </w:r>
    </w:p>
    <w:p>
      <w:pPr>
        <w:adjustRightInd w:val="0"/>
        <w:snapToGrid w:val="0"/>
        <w:spacing w:line="360" w:lineRule="auto"/>
        <w:ind w:firstLine="602"/>
        <w:jc w:val="left"/>
        <w:outlineLvl w:val="0"/>
        <w:rPr>
          <w:b/>
          <w:szCs w:val="21"/>
        </w:rPr>
      </w:pPr>
      <w:r>
        <w:rPr>
          <w:rFonts w:hint="eastAsia"/>
          <w:b/>
          <w:szCs w:val="21"/>
        </w:rPr>
        <w:t>七、违约责任</w:t>
      </w:r>
    </w:p>
    <w:p>
      <w:pPr>
        <w:adjustRightInd w:val="0"/>
        <w:snapToGrid w:val="0"/>
        <w:spacing w:line="360" w:lineRule="auto"/>
        <w:ind w:firstLine="420" w:firstLineChars="200"/>
        <w:jc w:val="left"/>
        <w:rPr>
          <w:szCs w:val="21"/>
        </w:rPr>
      </w:pPr>
      <w:r>
        <w:rPr>
          <w:b/>
          <w:szCs w:val="21"/>
        </w:rPr>
        <w:t>1.</w:t>
      </w:r>
      <w:r>
        <w:rPr>
          <w:rFonts w:hint="eastAsia"/>
          <w:szCs w:val="21"/>
        </w:rPr>
        <w:t>甲方无故逾期办理货款支付手续的</w:t>
      </w:r>
      <w:r>
        <w:rPr>
          <w:szCs w:val="21"/>
        </w:rPr>
        <w:t>,</w:t>
      </w:r>
      <w:r>
        <w:rPr>
          <w:rFonts w:hint="eastAsia"/>
          <w:szCs w:val="21"/>
        </w:rPr>
        <w:t>甲方应按逾期付款总额每日</w:t>
      </w:r>
      <w:r>
        <w:rPr>
          <w:szCs w:val="21"/>
        </w:rPr>
        <w:t>0.05%</w:t>
      </w:r>
      <w:r>
        <w:rPr>
          <w:rFonts w:hint="eastAsia"/>
          <w:szCs w:val="21"/>
        </w:rPr>
        <w:t>向乙方支付违约金。</w:t>
      </w:r>
    </w:p>
    <w:p>
      <w:pPr>
        <w:adjustRightInd w:val="0"/>
        <w:snapToGrid w:val="0"/>
        <w:spacing w:line="360" w:lineRule="auto"/>
        <w:ind w:firstLine="420" w:firstLineChars="200"/>
        <w:rPr>
          <w:szCs w:val="21"/>
        </w:rPr>
      </w:pPr>
      <w:r>
        <w:rPr>
          <w:b/>
          <w:szCs w:val="21"/>
        </w:rPr>
        <w:t>2.</w:t>
      </w:r>
      <w:r>
        <w:rPr>
          <w:rFonts w:hint="eastAsia"/>
          <w:szCs w:val="21"/>
        </w:rPr>
        <w:t>乙方逾期进行维保服务的，乙方应按合同总额每日0.05</w:t>
      </w:r>
      <w:r>
        <w:rPr>
          <w:szCs w:val="21"/>
        </w:rPr>
        <w:t>%</w:t>
      </w:r>
      <w:r>
        <w:rPr>
          <w:rFonts w:hint="eastAsia"/>
          <w:szCs w:val="21"/>
        </w:rPr>
        <w:t>向甲方支付违约金，由甲方从货款中扣除。逾期超过约定日期</w:t>
      </w:r>
      <w:r>
        <w:rPr>
          <w:szCs w:val="21"/>
        </w:rPr>
        <w:t>10</w:t>
      </w:r>
      <w:r>
        <w:rPr>
          <w:rFonts w:hint="eastAsia"/>
          <w:szCs w:val="21"/>
        </w:rPr>
        <w:t>个工作日的，甲方可解除本合同。乙方因逾期进行维保服务或因其他违约行为导致甲方解除合同的，乙方应向甲方支付合同总价</w:t>
      </w:r>
      <w:r>
        <w:rPr>
          <w:szCs w:val="21"/>
        </w:rPr>
        <w:t>5%</w:t>
      </w:r>
      <w:r>
        <w:rPr>
          <w:rFonts w:hint="eastAsia"/>
          <w:szCs w:val="21"/>
        </w:rPr>
        <w:t>的违约金，如造成甲方损失超过违约金的，超出部分由乙方继续承担赔偿责任。</w:t>
      </w:r>
      <w:r>
        <w:rPr>
          <w:szCs w:val="21"/>
        </w:rPr>
        <w:t xml:space="preserve"> </w:t>
      </w:r>
    </w:p>
    <w:p>
      <w:pPr>
        <w:adjustRightInd w:val="0"/>
        <w:snapToGrid w:val="0"/>
        <w:spacing w:line="360" w:lineRule="auto"/>
        <w:ind w:firstLine="420" w:firstLineChars="200"/>
        <w:jc w:val="left"/>
        <w:rPr>
          <w:szCs w:val="21"/>
        </w:rPr>
      </w:pPr>
      <w:r>
        <w:rPr>
          <w:b/>
          <w:szCs w:val="21"/>
        </w:rPr>
        <w:t>3.</w:t>
      </w:r>
      <w:r>
        <w:rPr>
          <w:rFonts w:hint="eastAsia"/>
          <w:szCs w:val="21"/>
        </w:rPr>
        <w:t>乙方所提供的维保服务不符合合同规定标准的，甲方有权拒绝，或要求乙方更换维保服务；乙方愿意更换维保服务但逾期未实施的，按乙方逾期进行维保服务处理。乙方拒绝更换维保服务的，甲方可单方面解除合同。</w:t>
      </w:r>
    </w:p>
    <w:p>
      <w:pPr>
        <w:adjustRightInd w:val="0"/>
        <w:snapToGrid w:val="0"/>
        <w:spacing w:line="360" w:lineRule="auto"/>
        <w:ind w:firstLine="420" w:firstLineChars="200"/>
        <w:jc w:val="left"/>
        <w:rPr>
          <w:szCs w:val="21"/>
        </w:rPr>
      </w:pPr>
      <w:r>
        <w:rPr>
          <w:b/>
          <w:szCs w:val="21"/>
        </w:rPr>
        <w:t>4.</w:t>
      </w:r>
      <w:r>
        <w:rPr>
          <w:rFonts w:hint="eastAsia"/>
          <w:szCs w:val="21"/>
        </w:rPr>
        <w:t>维保期间，因乙方原因导致甲方或第三方人身、财产损害的，乙方须依法承担全部赔偿责任；如因该等损害导致甲方向第三方承担赔偿责任的，乙方须在甲方赔偿范围内全额向甲方作出赔偿。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auto"/>
        <w:ind w:firstLine="420" w:firstLineChars="200"/>
        <w:jc w:val="left"/>
        <w:rPr>
          <w:szCs w:val="21"/>
        </w:rPr>
      </w:pPr>
      <w:r>
        <w:rPr>
          <w:b/>
          <w:szCs w:val="21"/>
        </w:rPr>
        <w:t>5.</w:t>
      </w:r>
      <w:r>
        <w:rPr>
          <w:rFonts w:hint="eastAsia"/>
          <w:szCs w:val="21"/>
        </w:rPr>
        <w:t>乙方不在约定时间内派人维修或维修质量验收不合格的，甲方可以委托他人修理，费用由乙方承担，甲方与第三方确认后可直接从乙方服务费中扣除该等费用。</w:t>
      </w:r>
    </w:p>
    <w:p>
      <w:pPr>
        <w:adjustRightInd w:val="0"/>
        <w:snapToGrid w:val="0"/>
        <w:spacing w:line="360" w:lineRule="auto"/>
        <w:ind w:firstLine="420" w:firstLineChars="200"/>
        <w:jc w:val="left"/>
        <w:rPr>
          <w:szCs w:val="21"/>
        </w:rPr>
      </w:pPr>
      <w:r>
        <w:rPr>
          <w:b/>
          <w:szCs w:val="21"/>
        </w:rPr>
        <w:t>6.</w:t>
      </w:r>
      <w:r>
        <w:rPr>
          <w:rFonts w:hint="eastAsia"/>
          <w:szCs w:val="21"/>
        </w:rPr>
        <w:t>除本合同另有规定外，乙方违反其在本合同项下其他义务并给甲方造成损失的，须向甲方承担全部赔偿责任。</w:t>
      </w:r>
    </w:p>
    <w:p>
      <w:pPr>
        <w:adjustRightInd w:val="0"/>
        <w:snapToGrid w:val="0"/>
        <w:spacing w:line="360" w:lineRule="auto"/>
        <w:ind w:firstLine="602"/>
        <w:jc w:val="left"/>
        <w:outlineLvl w:val="0"/>
        <w:rPr>
          <w:b/>
          <w:szCs w:val="21"/>
        </w:rPr>
      </w:pPr>
      <w:r>
        <w:rPr>
          <w:rFonts w:hint="eastAsia"/>
          <w:b/>
          <w:szCs w:val="21"/>
        </w:rPr>
        <w:t>八、不可抗力事件处理</w:t>
      </w:r>
    </w:p>
    <w:p>
      <w:pPr>
        <w:adjustRightInd w:val="0"/>
        <w:snapToGrid w:val="0"/>
        <w:spacing w:line="360" w:lineRule="auto"/>
        <w:ind w:firstLine="420" w:firstLineChars="200"/>
        <w:jc w:val="left"/>
        <w:rPr>
          <w:szCs w:val="21"/>
        </w:rPr>
      </w:pPr>
      <w:r>
        <w:rPr>
          <w:b/>
          <w:szCs w:val="21"/>
        </w:rPr>
        <w:t>1.</w:t>
      </w:r>
      <w:r>
        <w:rPr>
          <w:rFonts w:hint="eastAsia"/>
          <w:szCs w:val="21"/>
        </w:rPr>
        <w:t>在合同有效期内，任何一方因不可抗力事件导致不能履行合同，则合同履行期可延长，其延长期与不可抗力影响期相同。</w:t>
      </w:r>
    </w:p>
    <w:p>
      <w:pPr>
        <w:adjustRightInd w:val="0"/>
        <w:snapToGrid w:val="0"/>
        <w:spacing w:line="360" w:lineRule="auto"/>
        <w:ind w:firstLine="420" w:firstLineChars="200"/>
        <w:jc w:val="left"/>
        <w:rPr>
          <w:szCs w:val="21"/>
        </w:rPr>
      </w:pPr>
      <w:r>
        <w:rPr>
          <w:b/>
          <w:szCs w:val="21"/>
        </w:rPr>
        <w:t>2.</w:t>
      </w:r>
      <w:r>
        <w:rPr>
          <w:rFonts w:hint="eastAsia"/>
          <w:szCs w:val="21"/>
        </w:rPr>
        <w:t>不可抗力事件发生后，遭遇不可抗力的一方应立即通知对方，并寄送有关官方权威机构出具的证明。</w:t>
      </w:r>
    </w:p>
    <w:p>
      <w:pPr>
        <w:spacing w:line="360" w:lineRule="auto"/>
        <w:ind w:firstLine="399" w:firstLineChars="190"/>
        <w:jc w:val="left"/>
        <w:rPr>
          <w:szCs w:val="21"/>
        </w:rPr>
      </w:pPr>
      <w:r>
        <w:rPr>
          <w:b/>
          <w:szCs w:val="21"/>
        </w:rPr>
        <w:t>3.</w:t>
      </w:r>
      <w:r>
        <w:rPr>
          <w:rFonts w:hint="eastAsia"/>
          <w:szCs w:val="21"/>
        </w:rPr>
        <w:t>不可抗力事件延续</w:t>
      </w:r>
      <w:r>
        <w:rPr>
          <w:szCs w:val="21"/>
        </w:rPr>
        <w:t>140</w:t>
      </w:r>
      <w:r>
        <w:rPr>
          <w:rFonts w:hint="eastAsia"/>
          <w:szCs w:val="21"/>
        </w:rPr>
        <w:t>天以上，双方应通过友好协商，确定是否继续履行合同；协商无法达成一致的，本合同自动终止，双方互不承担赔偿或违约责任。</w:t>
      </w:r>
    </w:p>
    <w:p>
      <w:pPr>
        <w:adjustRightInd w:val="0"/>
        <w:snapToGrid w:val="0"/>
        <w:spacing w:line="360" w:lineRule="auto"/>
        <w:ind w:firstLine="602"/>
        <w:jc w:val="left"/>
        <w:rPr>
          <w:b/>
          <w:szCs w:val="21"/>
        </w:rPr>
      </w:pPr>
      <w:r>
        <w:rPr>
          <w:rFonts w:hint="eastAsia"/>
          <w:b/>
          <w:szCs w:val="21"/>
        </w:rPr>
        <w:t>九、争议解决</w:t>
      </w:r>
    </w:p>
    <w:p>
      <w:pPr>
        <w:adjustRightInd w:val="0"/>
        <w:snapToGrid w:val="0"/>
        <w:spacing w:line="360" w:lineRule="auto"/>
        <w:ind w:firstLine="420" w:firstLineChars="200"/>
        <w:jc w:val="left"/>
        <w:rPr>
          <w:szCs w:val="21"/>
        </w:rPr>
      </w:pPr>
      <w:r>
        <w:rPr>
          <w:rFonts w:hint="eastAsia"/>
          <w:szCs w:val="21"/>
        </w:rPr>
        <w:t>双方在执行合同中所发生的一切争议，应通过协商解决。如协商不成，由甲方所在地的人民法院管辖审理。</w:t>
      </w:r>
    </w:p>
    <w:p>
      <w:pPr>
        <w:adjustRightInd w:val="0"/>
        <w:snapToGrid w:val="0"/>
        <w:spacing w:line="360" w:lineRule="auto"/>
        <w:ind w:firstLine="420" w:firstLineChars="200"/>
        <w:jc w:val="left"/>
        <w:rPr>
          <w:b/>
          <w:szCs w:val="21"/>
        </w:rPr>
      </w:pPr>
      <w:r>
        <w:rPr>
          <w:rFonts w:hint="eastAsia"/>
          <w:b/>
          <w:szCs w:val="21"/>
        </w:rPr>
        <w:t>十、合同生效及其它</w:t>
      </w:r>
    </w:p>
    <w:p>
      <w:pPr>
        <w:adjustRightInd w:val="0"/>
        <w:snapToGrid w:val="0"/>
        <w:spacing w:line="360" w:lineRule="auto"/>
        <w:ind w:firstLine="420" w:firstLineChars="200"/>
        <w:jc w:val="left"/>
        <w:rPr>
          <w:szCs w:val="21"/>
        </w:rPr>
      </w:pPr>
      <w:r>
        <w:rPr>
          <w:b/>
          <w:szCs w:val="21"/>
        </w:rPr>
        <w:t>1.</w:t>
      </w:r>
      <w:r>
        <w:rPr>
          <w:rFonts w:hint="eastAsia"/>
          <w:szCs w:val="21"/>
        </w:rPr>
        <w:t>经双方法定代表人或授权代表签字或者签章并加盖单位公章之日起生效；</w:t>
      </w:r>
    </w:p>
    <w:p>
      <w:pPr>
        <w:adjustRightInd w:val="0"/>
        <w:snapToGrid w:val="0"/>
        <w:spacing w:line="360" w:lineRule="auto"/>
        <w:ind w:firstLine="420" w:firstLineChars="200"/>
        <w:jc w:val="left"/>
        <w:rPr>
          <w:szCs w:val="21"/>
        </w:rPr>
      </w:pPr>
      <w:r>
        <w:rPr>
          <w:b/>
          <w:szCs w:val="21"/>
        </w:rPr>
        <w:t>2.</w:t>
      </w:r>
      <w:r>
        <w:rPr>
          <w:rFonts w:hint="eastAsia"/>
          <w:szCs w:val="21"/>
        </w:rPr>
        <w:t>本合同未尽事宜，双方可签订补充协议予以执行；未达成补充协议的，遵照《合同法》及有关法律法规执行。</w:t>
      </w:r>
    </w:p>
    <w:p>
      <w:pPr>
        <w:tabs>
          <w:tab w:val="right" w:pos="8306"/>
        </w:tabs>
        <w:adjustRightInd w:val="0"/>
        <w:snapToGrid w:val="0"/>
        <w:spacing w:line="360" w:lineRule="auto"/>
        <w:ind w:firstLine="420" w:firstLineChars="200"/>
        <w:jc w:val="left"/>
        <w:rPr>
          <w:szCs w:val="21"/>
        </w:rPr>
      </w:pPr>
      <w:r>
        <w:rPr>
          <w:b/>
          <w:szCs w:val="21"/>
        </w:rPr>
        <w:t>3.</w:t>
      </w:r>
      <w:r>
        <w:rPr>
          <w:rFonts w:hint="eastAsia"/>
          <w:szCs w:val="21"/>
        </w:rPr>
        <w:t>本合同</w:t>
      </w:r>
      <w:r>
        <w:rPr>
          <w:rFonts w:hint="eastAsia"/>
          <w:szCs w:val="21"/>
          <w:u w:val="single"/>
        </w:rPr>
        <w:t>一式陆份，双方各执叁份，</w:t>
      </w:r>
      <w:r>
        <w:rPr>
          <w:rFonts w:hint="eastAsia"/>
          <w:szCs w:val="21"/>
        </w:rPr>
        <w:t>具有同等法律效力。</w:t>
      </w:r>
    </w:p>
    <w:p>
      <w:pPr>
        <w:tabs>
          <w:tab w:val="right" w:pos="8306"/>
        </w:tabs>
        <w:adjustRightInd w:val="0"/>
        <w:snapToGrid w:val="0"/>
        <w:spacing w:line="360" w:lineRule="auto"/>
        <w:ind w:firstLine="420" w:firstLineChars="200"/>
        <w:jc w:val="left"/>
        <w:rPr>
          <w:rFonts w:ascii="宋体" w:hAnsi="宋体"/>
        </w:rPr>
      </w:pPr>
      <w:r>
        <w:rPr>
          <w:b/>
          <w:szCs w:val="21"/>
        </w:rPr>
        <w:t>4.</w:t>
      </w:r>
      <w:r>
        <w:rPr>
          <w:rFonts w:hint="eastAsia"/>
          <w:szCs w:val="21"/>
        </w:rPr>
        <w:t>附件：（1）</w:t>
      </w:r>
      <w:r>
        <w:rPr>
          <w:szCs w:val="21"/>
        </w:rPr>
        <w:t>廉洁自律承诺书</w:t>
      </w:r>
      <w:r>
        <w:rPr>
          <w:rFonts w:hint="eastAsia"/>
          <w:szCs w:val="21"/>
        </w:rPr>
        <w:t>；（2）</w:t>
      </w:r>
      <w:r>
        <w:rPr>
          <w:szCs w:val="21"/>
        </w:rPr>
        <w:t>保密承诺书</w:t>
      </w:r>
      <w:r>
        <w:rPr>
          <w:rFonts w:hint="eastAsia"/>
          <w:szCs w:val="21"/>
        </w:rPr>
        <w:t>；（3）</w:t>
      </w:r>
      <w:r>
        <w:rPr>
          <w:szCs w:val="21"/>
        </w:rPr>
        <w:t>安全文明协议书</w:t>
      </w:r>
      <w:r>
        <w:rPr>
          <w:rFonts w:hint="eastAsia"/>
          <w:szCs w:val="21"/>
        </w:rPr>
        <w:t>；（4）</w:t>
      </w:r>
      <w:r>
        <w:rPr>
          <w:szCs w:val="21"/>
        </w:rPr>
        <w:t>消防安全责任书</w:t>
      </w:r>
      <w:r>
        <w:rPr>
          <w:rFonts w:hint="eastAsia"/>
          <w:szCs w:val="21"/>
        </w:rPr>
        <w:t>；（5）</w:t>
      </w:r>
      <w:r>
        <w:rPr>
          <w:szCs w:val="21"/>
        </w:rPr>
        <w:t xml:space="preserve">维保服务的工作内容及方案 </w:t>
      </w:r>
      <w:r>
        <w:rPr>
          <w:rFonts w:hint="eastAsia"/>
          <w:szCs w:val="21"/>
        </w:rPr>
        <w:t>；（6）</w:t>
      </w:r>
      <w:r>
        <w:rPr>
          <w:szCs w:val="21"/>
        </w:rPr>
        <w:t>维保服务考核标准细则</w:t>
      </w:r>
      <w:r>
        <w:rPr>
          <w:rFonts w:hint="eastAsia"/>
          <w:szCs w:val="21"/>
        </w:rPr>
        <w:t>；（7）</w:t>
      </w:r>
      <w:r>
        <w:rPr>
          <w:szCs w:val="21"/>
        </w:rPr>
        <w:t>乙方在投标时做出的其他合同中未约定的承诺服务内容</w:t>
      </w:r>
      <w:r>
        <w:rPr>
          <w:rFonts w:hint="eastAsia"/>
          <w:szCs w:val="21"/>
        </w:rPr>
        <w:t>；（8）</w:t>
      </w:r>
      <w:r>
        <w:rPr>
          <w:szCs w:val="21"/>
        </w:rPr>
        <w:t>甲方认为需要增加的其他内容</w:t>
      </w:r>
      <w:r>
        <w:rPr>
          <w:rFonts w:hint="eastAsia"/>
          <w:szCs w:val="21"/>
        </w:rPr>
        <w:t>。</w:t>
      </w:r>
    </w:p>
    <w:p>
      <w:pPr>
        <w:tabs>
          <w:tab w:val="right" w:pos="8306"/>
        </w:tabs>
        <w:adjustRightInd w:val="0"/>
        <w:snapToGrid w:val="0"/>
        <w:ind w:firstLine="440" w:firstLineChars="200"/>
        <w:jc w:val="left"/>
        <w:rPr>
          <w:rFonts w:ascii="宋体" w:hAnsi="宋体"/>
          <w:sz w:val="22"/>
        </w:rPr>
      </w:pPr>
    </w:p>
    <w:p>
      <w:pPr>
        <w:tabs>
          <w:tab w:val="right" w:pos="8306"/>
        </w:tabs>
        <w:adjustRightInd w:val="0"/>
        <w:snapToGrid w:val="0"/>
        <w:ind w:firstLine="440" w:firstLineChars="200"/>
        <w:jc w:val="left"/>
        <w:rPr>
          <w:rFonts w:ascii="宋体" w:hAnsi="宋体"/>
          <w:sz w:val="22"/>
        </w:rPr>
      </w:pPr>
    </w:p>
    <w:p>
      <w:pPr>
        <w:tabs>
          <w:tab w:val="right" w:pos="8306"/>
        </w:tabs>
        <w:adjustRightInd w:val="0"/>
        <w:snapToGrid w:val="0"/>
        <w:ind w:firstLine="440" w:firstLineChars="200"/>
        <w:jc w:val="left"/>
        <w:rPr>
          <w:rFonts w:ascii="宋体" w:hAnsi="宋体"/>
          <w:sz w:val="22"/>
        </w:rPr>
      </w:pPr>
    </w:p>
    <w:p>
      <w:pPr>
        <w:tabs>
          <w:tab w:val="right" w:pos="8306"/>
        </w:tabs>
        <w:adjustRightInd w:val="0"/>
        <w:snapToGrid w:val="0"/>
        <w:ind w:firstLine="440" w:firstLineChars="200"/>
        <w:jc w:val="left"/>
        <w:rPr>
          <w:rFonts w:ascii="宋体" w:hAnsi="宋体"/>
          <w:sz w:val="22"/>
        </w:rPr>
      </w:pPr>
      <w:r>
        <w:rPr>
          <w:rFonts w:hint="eastAsia" w:ascii="宋体" w:hAnsi="宋体"/>
          <w:sz w:val="22"/>
        </w:rPr>
        <w:tab/>
      </w:r>
    </w:p>
    <w:p>
      <w:pPr>
        <w:adjustRightInd w:val="0"/>
        <w:snapToGrid w:val="0"/>
        <w:jc w:val="left"/>
        <w:rPr>
          <w:rFonts w:ascii="宋体" w:hAnsi="宋体"/>
          <w:sz w:val="22"/>
        </w:rPr>
      </w:pPr>
      <w:r>
        <w:rPr>
          <w:rFonts w:hint="eastAsia" w:ascii="宋体" w:hAnsi="宋体"/>
          <w:sz w:val="22"/>
        </w:rPr>
        <w:t xml:space="preserve">甲方：杭州萧山国际机场有限公司  </w:t>
      </w:r>
      <w:r>
        <w:rPr>
          <w:rFonts w:ascii="宋体" w:hAnsi="宋体"/>
          <w:sz w:val="22"/>
        </w:rPr>
        <w:t xml:space="preserve">               </w:t>
      </w:r>
      <w:r>
        <w:rPr>
          <w:rFonts w:hint="eastAsia" w:ascii="宋体" w:hAnsi="宋体"/>
          <w:sz w:val="22"/>
        </w:rPr>
        <w:t xml:space="preserve">乙方： </w:t>
      </w:r>
    </w:p>
    <w:p>
      <w:pPr>
        <w:adjustRightInd w:val="0"/>
        <w:snapToGrid w:val="0"/>
        <w:ind w:left="6750" w:hanging="6750"/>
        <w:jc w:val="left"/>
        <w:rPr>
          <w:rFonts w:ascii="宋体" w:hAnsi="宋体"/>
          <w:sz w:val="22"/>
        </w:rPr>
      </w:pPr>
      <w:r>
        <w:rPr>
          <w:rFonts w:hint="eastAsia" w:ascii="宋体" w:hAnsi="宋体"/>
          <w:sz w:val="22"/>
        </w:rPr>
        <w:t xml:space="preserve">地址：杭州萧山国际机场内        </w:t>
      </w:r>
      <w:r>
        <w:rPr>
          <w:rFonts w:ascii="宋体" w:hAnsi="宋体"/>
          <w:sz w:val="22"/>
        </w:rPr>
        <w:t xml:space="preserve">               </w:t>
      </w:r>
      <w:r>
        <w:rPr>
          <w:rFonts w:hint="eastAsia" w:ascii="宋体" w:hAnsi="宋体"/>
          <w:sz w:val="22"/>
        </w:rPr>
        <w:t xml:space="preserve">地址： </w:t>
      </w:r>
    </w:p>
    <w:p>
      <w:pPr>
        <w:adjustRightInd w:val="0"/>
        <w:snapToGrid w:val="0"/>
        <w:ind w:left="6750" w:hanging="6750"/>
        <w:jc w:val="left"/>
        <w:rPr>
          <w:rFonts w:ascii="宋体" w:hAnsi="宋体"/>
          <w:sz w:val="22"/>
        </w:rPr>
      </w:pPr>
    </w:p>
    <w:p>
      <w:pPr>
        <w:adjustRightInd w:val="0"/>
        <w:snapToGrid w:val="0"/>
        <w:jc w:val="left"/>
        <w:rPr>
          <w:rFonts w:ascii="宋体" w:hAnsi="宋体"/>
          <w:sz w:val="22"/>
        </w:rPr>
      </w:pPr>
      <w:r>
        <w:rPr>
          <w:rFonts w:hint="eastAsia" w:ascii="宋体" w:hAnsi="宋体"/>
          <w:sz w:val="22"/>
        </w:rPr>
        <w:t xml:space="preserve">法定代表人（签字）：            </w:t>
      </w:r>
      <w:r>
        <w:rPr>
          <w:rFonts w:ascii="宋体" w:hAnsi="宋体"/>
          <w:sz w:val="22"/>
        </w:rPr>
        <w:t xml:space="preserve">                </w:t>
      </w:r>
      <w:r>
        <w:rPr>
          <w:rFonts w:hint="eastAsia" w:ascii="宋体" w:hAnsi="宋体"/>
          <w:sz w:val="22"/>
        </w:rPr>
        <w:t>法定代表人（签字）：</w:t>
      </w:r>
    </w:p>
    <w:p>
      <w:pPr>
        <w:adjustRightInd w:val="0"/>
        <w:snapToGrid w:val="0"/>
        <w:jc w:val="left"/>
        <w:rPr>
          <w:rFonts w:ascii="宋体" w:hAnsi="宋体"/>
          <w:sz w:val="22"/>
        </w:rPr>
      </w:pPr>
      <w:r>
        <w:rPr>
          <w:rFonts w:hint="eastAsia" w:ascii="宋体" w:hAnsi="宋体"/>
          <w:sz w:val="22"/>
        </w:rPr>
        <w:t xml:space="preserve">或                              </w:t>
      </w:r>
      <w:r>
        <w:rPr>
          <w:rFonts w:ascii="宋体" w:hAnsi="宋体"/>
          <w:sz w:val="22"/>
        </w:rPr>
        <w:t xml:space="preserve">                  </w:t>
      </w:r>
      <w:r>
        <w:rPr>
          <w:rFonts w:hint="eastAsia" w:ascii="宋体" w:hAnsi="宋体"/>
          <w:sz w:val="22"/>
        </w:rPr>
        <w:t>或</w:t>
      </w:r>
    </w:p>
    <w:p>
      <w:pPr>
        <w:adjustRightInd w:val="0"/>
        <w:snapToGrid w:val="0"/>
        <w:jc w:val="left"/>
        <w:rPr>
          <w:rFonts w:ascii="宋体" w:hAnsi="宋体"/>
          <w:sz w:val="22"/>
        </w:rPr>
      </w:pPr>
      <w:r>
        <w:rPr>
          <w:rFonts w:hint="eastAsia" w:ascii="宋体" w:hAnsi="宋体"/>
          <w:sz w:val="22"/>
        </w:rPr>
        <w:t xml:space="preserve">授权代表（签字）：               </w:t>
      </w:r>
      <w:r>
        <w:rPr>
          <w:rFonts w:ascii="宋体" w:hAnsi="宋体"/>
          <w:sz w:val="22"/>
        </w:rPr>
        <w:t xml:space="preserve">              </w:t>
      </w:r>
      <w:r>
        <w:rPr>
          <w:rFonts w:hint="eastAsia" w:ascii="宋体" w:hAnsi="宋体"/>
          <w:sz w:val="22"/>
        </w:rPr>
        <w:t>授权代表（签字）：</w:t>
      </w:r>
    </w:p>
    <w:p>
      <w:pPr>
        <w:adjustRightInd w:val="0"/>
        <w:snapToGrid w:val="0"/>
        <w:jc w:val="left"/>
        <w:rPr>
          <w:rFonts w:ascii="宋体" w:hAnsi="宋体"/>
          <w:sz w:val="22"/>
        </w:rPr>
      </w:pPr>
    </w:p>
    <w:p>
      <w:pPr>
        <w:adjustRightInd w:val="0"/>
        <w:snapToGrid w:val="0"/>
        <w:jc w:val="left"/>
        <w:rPr>
          <w:rFonts w:ascii="宋体" w:hAnsi="宋体"/>
          <w:sz w:val="22"/>
        </w:rPr>
      </w:pPr>
    </w:p>
    <w:p>
      <w:pPr>
        <w:adjustRightInd w:val="0"/>
        <w:snapToGrid w:val="0"/>
        <w:jc w:val="left"/>
        <w:rPr>
          <w:rFonts w:ascii="宋体" w:hAnsi="宋体"/>
          <w:sz w:val="22"/>
        </w:rPr>
      </w:pPr>
      <w:r>
        <w:rPr>
          <w:rFonts w:ascii="宋体" w:hAnsi="宋体"/>
          <w:sz w:val="22"/>
        </w:rPr>
        <w:t>签订日期：</w:t>
      </w:r>
      <w:r>
        <w:rPr>
          <w:rFonts w:hint="eastAsia" w:ascii="宋体" w:hAnsi="宋体"/>
          <w:sz w:val="22"/>
        </w:rPr>
        <w:t xml:space="preserve">   年    月   日</w:t>
      </w:r>
    </w:p>
    <w:p>
      <w:pPr>
        <w:spacing w:line="440" w:lineRule="exact"/>
        <w:ind w:firstLine="440" w:firstLineChars="200"/>
        <w:jc w:val="left"/>
        <w:rPr>
          <w:rFonts w:ascii="宋体" w:hAnsi="宋体" w:cs="仿宋_GB2312"/>
          <w:szCs w:val="21"/>
        </w:rPr>
      </w:pPr>
      <w:r>
        <w:rPr>
          <w:rFonts w:ascii="宋体"/>
          <w:sz w:val="22"/>
        </w:rPr>
        <w:br w:type="page"/>
      </w:r>
    </w:p>
    <w:p>
      <w:pPr>
        <w:widowControl/>
        <w:jc w:val="left"/>
        <w:rPr>
          <w:rFonts w:ascii="宋体" w:hAnsi="宋体" w:cs="仿宋_GB2312"/>
          <w:color w:val="000000"/>
          <w:szCs w:val="21"/>
        </w:rPr>
      </w:pPr>
    </w:p>
    <w:p>
      <w:pPr>
        <w:pStyle w:val="98"/>
        <w:spacing w:line="440" w:lineRule="exact"/>
        <w:ind w:firstLine="420"/>
        <w:rPr>
          <w:rFonts w:ascii="宋体" w:hAnsi="宋体" w:cs="仿宋_GB2312"/>
          <w:szCs w:val="21"/>
        </w:rPr>
      </w:pPr>
      <w:r>
        <w:rPr>
          <w:rFonts w:hint="eastAsia" w:ascii="宋体" w:hAnsi="宋体" w:cs="仿宋_GB2312"/>
          <w:szCs w:val="21"/>
        </w:rPr>
        <w:t>附件1：</w:t>
      </w:r>
    </w:p>
    <w:p>
      <w:pPr>
        <w:spacing w:line="276" w:lineRule="auto"/>
        <w:jc w:val="center"/>
        <w:rPr>
          <w:rFonts w:ascii="宋体" w:hAnsi="宋体"/>
          <w:b/>
          <w:kern w:val="0"/>
          <w:sz w:val="24"/>
          <w:szCs w:val="21"/>
        </w:rPr>
      </w:pPr>
      <w:r>
        <w:rPr>
          <w:rFonts w:hint="eastAsia" w:ascii="宋体" w:hAnsi="宋体"/>
          <w:b/>
          <w:kern w:val="0"/>
          <w:sz w:val="24"/>
          <w:szCs w:val="21"/>
        </w:rPr>
        <w:t>杭州萧山国际机场有限公司廉洁自律承诺书</w:t>
      </w:r>
    </w:p>
    <w:p>
      <w:pPr>
        <w:spacing w:line="276" w:lineRule="auto"/>
        <w:jc w:val="center"/>
        <w:rPr>
          <w:rFonts w:ascii="宋体" w:hAnsi="宋体"/>
          <w:kern w:val="0"/>
          <w:sz w:val="24"/>
          <w:szCs w:val="21"/>
        </w:rPr>
      </w:pPr>
    </w:p>
    <w:p>
      <w:pPr>
        <w:spacing w:line="276" w:lineRule="auto"/>
        <w:jc w:val="left"/>
        <w:rPr>
          <w:rFonts w:ascii="宋体" w:hAnsi="宋体"/>
          <w:szCs w:val="21"/>
        </w:rPr>
      </w:pPr>
      <w:r>
        <w:rPr>
          <w:rFonts w:hint="eastAsia" w:ascii="宋体" w:hAnsi="宋体"/>
          <w:szCs w:val="21"/>
        </w:rPr>
        <w:t>杭州萧山国际机场有限公司：</w:t>
      </w:r>
    </w:p>
    <w:p>
      <w:pPr>
        <w:spacing w:line="276" w:lineRule="auto"/>
        <w:ind w:firstLine="42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2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2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2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2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2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2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20" w:firstLineChars="200"/>
        <w:jc w:val="lef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20" w:firstLineChars="200"/>
        <w:jc w:val="left"/>
        <w:rPr>
          <w:rFonts w:ascii="宋体" w:hAnsi="宋体"/>
          <w:szCs w:val="21"/>
        </w:rPr>
      </w:pPr>
      <w:r>
        <w:rPr>
          <w:rFonts w:hint="eastAsia" w:ascii="宋体" w:hAnsi="宋体"/>
          <w:szCs w:val="21"/>
        </w:rPr>
        <w:t>八、如违反上述廉洁自律承诺，贵公司有权：</w:t>
      </w:r>
    </w:p>
    <w:p>
      <w:pPr>
        <w:spacing w:line="276"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承诺人单位名称（盖章）：            </w:t>
      </w:r>
    </w:p>
    <w:p>
      <w:pPr>
        <w:spacing w:line="276" w:lineRule="auto"/>
        <w:ind w:firstLine="420" w:firstLineChars="200"/>
        <w:jc w:val="left"/>
        <w:rPr>
          <w:rFonts w:ascii="宋体" w:hAnsi="宋体"/>
          <w:szCs w:val="21"/>
        </w:rPr>
      </w:pPr>
      <w:r>
        <w:rPr>
          <w:rFonts w:hint="eastAsia" w:ascii="宋体" w:hAnsi="宋体"/>
          <w:szCs w:val="21"/>
        </w:rPr>
        <w:t xml:space="preserve">法定代表人 ：                    </w:t>
      </w:r>
    </w:p>
    <w:p>
      <w:pPr>
        <w:spacing w:line="276" w:lineRule="auto"/>
        <w:ind w:firstLine="420" w:firstLineChars="200"/>
        <w:jc w:val="left"/>
        <w:rPr>
          <w:rFonts w:ascii="宋体" w:hAnsi="宋体"/>
          <w:szCs w:val="21"/>
        </w:rPr>
      </w:pPr>
      <w:r>
        <w:rPr>
          <w:rFonts w:hint="eastAsia" w:ascii="宋体" w:hAnsi="宋体"/>
          <w:szCs w:val="21"/>
        </w:rPr>
        <w:t xml:space="preserve">或                            </w:t>
      </w:r>
    </w:p>
    <w:p>
      <w:pPr>
        <w:spacing w:line="276" w:lineRule="auto"/>
        <w:ind w:firstLine="420" w:firstLineChars="200"/>
        <w:jc w:val="left"/>
        <w:rPr>
          <w:rFonts w:ascii="宋体" w:hAnsi="宋体"/>
          <w:szCs w:val="21"/>
        </w:rPr>
      </w:pPr>
      <w:r>
        <w:rPr>
          <w:rFonts w:hint="eastAsia" w:ascii="宋体" w:hAnsi="宋体"/>
          <w:szCs w:val="21"/>
        </w:rPr>
        <w:t xml:space="preserve">委托代理人：                   </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                           年     月     日</w:t>
      </w:r>
    </w:p>
    <w:p>
      <w:pPr>
        <w:spacing w:line="276" w:lineRule="auto"/>
        <w:ind w:firstLine="420" w:firstLineChars="200"/>
        <w:jc w:val="left"/>
        <w:rPr>
          <w:rFonts w:ascii="宋体" w:hAnsi="宋体"/>
          <w:szCs w:val="21"/>
        </w:rPr>
      </w:pPr>
      <w:r>
        <w:rPr>
          <w:rFonts w:ascii="宋体" w:hAnsi="宋体"/>
          <w:szCs w:val="21"/>
        </w:rPr>
        <w:br w:type="page"/>
      </w:r>
    </w:p>
    <w:p>
      <w:pPr>
        <w:spacing w:line="440" w:lineRule="exact"/>
        <w:ind w:firstLine="420" w:firstLineChars="200"/>
        <w:rPr>
          <w:rFonts w:ascii="宋体" w:hAnsi="宋体" w:cs="仿宋_GB2312"/>
          <w:szCs w:val="21"/>
        </w:rPr>
      </w:pPr>
      <w:r>
        <w:rPr>
          <w:rFonts w:hint="eastAsia" w:ascii="宋体" w:hAnsi="宋体" w:cs="仿宋_GB2312"/>
          <w:szCs w:val="21"/>
        </w:rPr>
        <w:t xml:space="preserve">附件2： </w:t>
      </w:r>
    </w:p>
    <w:p>
      <w:pPr>
        <w:spacing w:line="440" w:lineRule="exact"/>
        <w:ind w:firstLine="420" w:firstLineChars="200"/>
        <w:jc w:val="center"/>
        <w:rPr>
          <w:rFonts w:ascii="宋体" w:hAnsi="宋体" w:cs="仿宋_GB2312"/>
          <w:b/>
          <w:bCs/>
          <w:szCs w:val="21"/>
        </w:rPr>
      </w:pPr>
      <w:r>
        <w:rPr>
          <w:rFonts w:hint="eastAsia" w:ascii="宋体" w:hAnsi="宋体" w:cs="仿宋_GB2312"/>
          <w:b/>
          <w:bCs/>
          <w:szCs w:val="21"/>
        </w:rPr>
        <w:t>保密承诺书</w:t>
      </w:r>
    </w:p>
    <w:p>
      <w:pPr>
        <w:snapToGrid w:val="0"/>
        <w:spacing w:line="276" w:lineRule="auto"/>
        <w:ind w:firstLine="420" w:firstLineChars="200"/>
        <w:rPr>
          <w:rFonts w:ascii="宋体" w:hAnsi="宋体" w:cs="仿宋_GB2312"/>
          <w:szCs w:val="21"/>
        </w:rPr>
      </w:pPr>
      <w:r>
        <w:rPr>
          <w:rFonts w:hint="eastAsia" w:ascii="宋体" w:hAnsi="宋体" w:cs="仿宋_GB2312"/>
          <w:szCs w:val="21"/>
        </w:rPr>
        <w:t xml:space="preserve">鉴于我方愿成为杭州萧山国际机场有限公司（以下简称“机场公司”）的供应商或潜在供应商候选人，为机场公司提供【 </w:t>
      </w:r>
      <w:r>
        <w:rPr>
          <w:rFonts w:ascii="宋体" w:hAnsi="宋体" w:cs="仿宋_GB2312"/>
          <w:szCs w:val="21"/>
        </w:rPr>
        <w:t xml:space="preserve">       </w:t>
      </w:r>
      <w:r>
        <w:rPr>
          <w:rFonts w:hint="eastAsia" w:ascii="宋体" w:hAnsi="宋体" w:cs="仿宋_GB2312"/>
          <w:szCs w:val="21"/>
        </w:rPr>
        <w:t>】项目的维保服务。在上述业务来往过程中，机场公司可能向我方提供经营、业务、产品及技术等有关的文件、资料、软件等信息，为维护机场公司的利益，我方就保密事宜做出如下承诺：</w:t>
      </w:r>
    </w:p>
    <w:p>
      <w:pPr>
        <w:spacing w:line="276" w:lineRule="auto"/>
        <w:ind w:firstLine="420" w:firstLineChars="200"/>
        <w:rPr>
          <w:rFonts w:ascii="宋体" w:hAnsi="宋体" w:cs="仿宋_GB2312"/>
          <w:szCs w:val="21"/>
        </w:rPr>
      </w:pPr>
      <w:r>
        <w:rPr>
          <w:rFonts w:hint="eastAsia" w:ascii="宋体" w:hAnsi="宋体" w:cs="仿宋_GB2312"/>
          <w:szCs w:val="21"/>
        </w:rPr>
        <w:t>1.商业秘密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1.1商业秘密是指机场公司（包括机场公司关联公司）一切专有、不对外公开的资料和信息。包括但不限于以下方面：</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（1）经营信息（发展规划、运营状况、客户资源、货源情报、投融资计划、开发计划、标书等）；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（2）管理信息（管理方法、管理制度、员工管理、合同管理、纠纷管理等）；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（3）产品及技术信息（设计及图纸、样品及服务、技术方案、质量标准、技术标准、计算机程序等）；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（4）财务信息（财务收支、固定资产、流动资金、成本核算等）；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（5）我方单独或机场公司（包括机场公司关联公司）和我方共同为机场公司开发、设计、生产的产品、资料及相关信息；</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（6）其他机场公司未对外公开的有关营运、计划、航班数据、标准、开发、生产、经营、质量管理控制和租赁的资料和数据等信息以及对供应商的管理文件。</w:t>
      </w:r>
    </w:p>
    <w:p>
      <w:pPr>
        <w:spacing w:line="276" w:lineRule="auto"/>
        <w:ind w:firstLine="420" w:firstLineChars="200"/>
        <w:rPr>
          <w:rFonts w:ascii="宋体" w:hAnsi="宋体" w:cs="仿宋_GB2312"/>
          <w:szCs w:val="21"/>
        </w:rPr>
      </w:pPr>
      <w:r>
        <w:rPr>
          <w:rFonts w:hint="eastAsia" w:ascii="宋体" w:hAnsi="宋体" w:cs="仿宋_GB2312"/>
          <w:szCs w:val="21"/>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276" w:lineRule="auto"/>
        <w:ind w:firstLine="420" w:firstLineChars="200"/>
        <w:rPr>
          <w:rFonts w:ascii="宋体" w:hAnsi="宋体" w:cs="仿宋_GB2312"/>
          <w:szCs w:val="21"/>
        </w:rPr>
      </w:pPr>
      <w:r>
        <w:rPr>
          <w:rFonts w:hint="eastAsia" w:ascii="宋体" w:hAnsi="宋体" w:cs="仿宋_GB2312"/>
          <w:szCs w:val="21"/>
        </w:rPr>
        <w:t>1.3、对于上述提及的商业秘密，不能仅因为公开发表的文章或资讯中包含其内容，就认为是可对外公开的特殊情况。</w:t>
      </w:r>
    </w:p>
    <w:p>
      <w:pPr>
        <w:spacing w:line="276" w:lineRule="auto"/>
        <w:ind w:firstLine="420" w:firstLineChars="200"/>
        <w:rPr>
          <w:rFonts w:ascii="宋体" w:hAnsi="宋体" w:cs="仿宋_GB2312"/>
          <w:szCs w:val="21"/>
        </w:rPr>
      </w:pPr>
      <w:r>
        <w:rPr>
          <w:rFonts w:hint="eastAsia" w:ascii="宋体" w:hAnsi="宋体" w:cs="仿宋_GB2312"/>
          <w:szCs w:val="21"/>
        </w:rPr>
        <w:t>1.4、以下资料不属于本承诺所指的商业秘密：</w:t>
      </w:r>
    </w:p>
    <w:p>
      <w:pPr>
        <w:spacing w:line="276" w:lineRule="auto"/>
        <w:ind w:firstLine="420" w:firstLineChars="200"/>
        <w:rPr>
          <w:rFonts w:ascii="宋体" w:hAnsi="宋体" w:cs="仿宋_GB2312"/>
          <w:szCs w:val="21"/>
        </w:rPr>
      </w:pPr>
      <w:r>
        <w:rPr>
          <w:rFonts w:hint="eastAsia" w:ascii="宋体" w:hAnsi="宋体" w:cs="仿宋_GB2312"/>
          <w:szCs w:val="21"/>
        </w:rPr>
        <w:t>（1）我方从机场公司拟获悉之前已持有的我方无需承担保密义务的机场公司有关资料(但通过其它违约或侵权行为而获得的资料除外)；</w:t>
      </w:r>
    </w:p>
    <w:p>
      <w:pPr>
        <w:spacing w:line="276" w:lineRule="auto"/>
        <w:ind w:firstLine="420" w:firstLineChars="200"/>
        <w:rPr>
          <w:rFonts w:ascii="宋体" w:hAnsi="宋体" w:cs="仿宋_GB2312"/>
          <w:szCs w:val="21"/>
        </w:rPr>
      </w:pPr>
      <w:r>
        <w:rPr>
          <w:rFonts w:hint="eastAsia" w:ascii="宋体" w:hAnsi="宋体" w:cs="仿宋_GB2312"/>
          <w:szCs w:val="21"/>
        </w:rPr>
        <w:t>（2）已经公开或已成为常识性的资料，且该等公开并非因违反本承诺所致。</w:t>
      </w:r>
    </w:p>
    <w:p>
      <w:pPr>
        <w:spacing w:line="276" w:lineRule="auto"/>
        <w:ind w:firstLine="420" w:firstLineChars="200"/>
        <w:rPr>
          <w:rFonts w:ascii="宋体" w:hAnsi="宋体" w:cs="仿宋_GB2312"/>
          <w:szCs w:val="21"/>
        </w:rPr>
      </w:pPr>
      <w:r>
        <w:rPr>
          <w:rFonts w:hint="eastAsia" w:ascii="宋体" w:hAnsi="宋体" w:cs="仿宋_GB2312"/>
          <w:szCs w:val="21"/>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276" w:lineRule="auto"/>
        <w:ind w:firstLine="420" w:firstLineChars="200"/>
        <w:rPr>
          <w:rFonts w:ascii="宋体" w:hAnsi="宋体" w:cs="仿宋_GB2312"/>
          <w:szCs w:val="21"/>
        </w:rPr>
      </w:pPr>
      <w:r>
        <w:rPr>
          <w:rFonts w:hint="eastAsia" w:ascii="宋体" w:hAnsi="宋体" w:cs="仿宋_GB2312"/>
          <w:szCs w:val="21"/>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（1）披露、使用或者允许他人以不正当手段获取的商业秘密；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（2）为机场公司以外的第三人窃取、刺探、收买、非法提供商业秘密。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（3）在电子公告系统、聊天系统、电子邮箱、论坛等计算机网络系统上传递、转发、抄送、发布、谈论和传播商业秘密；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 xml:space="preserve">（4）在私人交往和通信中，向亲属、朋友以及与工作无关人员泄露商业秘密，或在公共场所谈论商业秘密； </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（5）擅自将属于商业秘密的文件、资料和其他物品携带、传递、寄运出机场公司办公场所或国（境）外。</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（6）未经机场公司同意就以任何方式私自保存、截留含有机场公司商业秘密的任何形式资料、文件和物品的复印件、复制品、副本。</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（7）将含有机场公司商业秘密的产品、技术或其他资料、信息向第三人销售、使用或以任何方式提供。</w:t>
      </w:r>
    </w:p>
    <w:p>
      <w:pPr>
        <w:spacing w:line="276" w:lineRule="auto"/>
        <w:ind w:firstLine="420" w:firstLineChars="200"/>
        <w:rPr>
          <w:rFonts w:ascii="宋体" w:hAnsi="宋体" w:cs="仿宋_GB2312"/>
          <w:szCs w:val="21"/>
        </w:rPr>
      </w:pPr>
      <w:r>
        <w:rPr>
          <w:rFonts w:hint="eastAsia" w:ascii="宋体" w:hAnsi="宋体" w:cs="仿宋_GB2312"/>
          <w:szCs w:val="21"/>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276" w:lineRule="auto"/>
        <w:ind w:firstLine="420" w:firstLineChars="200"/>
        <w:rPr>
          <w:rFonts w:ascii="宋体" w:hAnsi="宋体" w:cs="仿宋_GB2312"/>
          <w:szCs w:val="21"/>
        </w:rPr>
      </w:pPr>
      <w:r>
        <w:rPr>
          <w:rFonts w:hint="eastAsia" w:ascii="宋体" w:hAnsi="宋体" w:cs="仿宋_GB2312"/>
          <w:szCs w:val="21"/>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276" w:lineRule="auto"/>
        <w:ind w:firstLine="420" w:firstLineChars="200"/>
        <w:rPr>
          <w:rFonts w:ascii="宋体" w:hAnsi="宋体" w:cs="仿宋_GB2312"/>
          <w:szCs w:val="21"/>
        </w:rPr>
      </w:pPr>
      <w:r>
        <w:rPr>
          <w:rFonts w:hint="eastAsia" w:ascii="宋体" w:hAnsi="宋体" w:cs="仿宋_GB2312"/>
          <w:szCs w:val="21"/>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276" w:lineRule="auto"/>
        <w:ind w:firstLine="420" w:firstLineChars="200"/>
        <w:rPr>
          <w:rFonts w:ascii="宋体" w:hAnsi="宋体" w:cs="仿宋_GB2312"/>
          <w:szCs w:val="21"/>
        </w:rPr>
      </w:pPr>
      <w:r>
        <w:rPr>
          <w:rFonts w:hint="eastAsia" w:ascii="宋体" w:hAnsi="宋体" w:cs="仿宋_GB2312"/>
          <w:szCs w:val="21"/>
        </w:rPr>
        <w:t>8、违约责任</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8.1因我方违反保密义务的行为造成机场公司的一切损失，我方应当全部予以赔偿。</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8.2如我方违反本承诺书下保密义务，应当承担违约责任，除赔偿损失外，还应依据合同向机场公司支付相应的违约金；</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9、本承诺书适用中华人民共和国法律，如因履行本承诺书发生争议，则双方均有权向机场公司所在地法院提起诉讼。</w:t>
      </w: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r>
        <w:rPr>
          <w:rFonts w:hint="eastAsia" w:ascii="宋体" w:hAnsi="宋体" w:cs="仿宋_GB2312"/>
          <w:szCs w:val="21"/>
        </w:rPr>
        <w:t xml:space="preserve">                 </w:t>
      </w:r>
      <w:r>
        <w:rPr>
          <w:rFonts w:ascii="宋体" w:hAnsi="宋体" w:cs="仿宋_GB2312"/>
          <w:szCs w:val="21"/>
        </w:rPr>
        <w:t xml:space="preserve">         </w:t>
      </w:r>
      <w:r>
        <w:rPr>
          <w:rFonts w:hint="eastAsia" w:ascii="宋体" w:hAnsi="宋体" w:cs="仿宋_GB2312"/>
          <w:szCs w:val="21"/>
        </w:rPr>
        <w:t>供应商(盖章):</w:t>
      </w:r>
    </w:p>
    <w:p>
      <w:pPr>
        <w:spacing w:line="440" w:lineRule="exact"/>
        <w:ind w:firstLine="3150" w:firstLineChars="1500"/>
        <w:rPr>
          <w:rFonts w:ascii="宋体" w:hAnsi="宋体" w:cs="仿宋_GB2312"/>
          <w:szCs w:val="21"/>
        </w:rPr>
      </w:pPr>
      <w:r>
        <w:rPr>
          <w:rFonts w:hint="eastAsia" w:ascii="宋体" w:hAnsi="宋体" w:cs="仿宋_GB2312"/>
          <w:szCs w:val="21"/>
        </w:rPr>
        <w:t>法定代表人或授权代表：</w:t>
      </w:r>
    </w:p>
    <w:p>
      <w:pPr>
        <w:spacing w:line="440" w:lineRule="exact"/>
        <w:ind w:firstLine="420" w:firstLineChars="200"/>
        <w:rPr>
          <w:rFonts w:ascii="宋体" w:hAnsi="宋体" w:cs="仿宋_GB2312"/>
          <w:szCs w:val="21"/>
        </w:rPr>
      </w:pPr>
      <w:r>
        <w:rPr>
          <w:rFonts w:hint="eastAsia" w:ascii="宋体" w:hAnsi="宋体" w:cs="仿宋_GB2312"/>
          <w:szCs w:val="21"/>
        </w:rPr>
        <w:t xml:space="preserve">                       </w:t>
      </w:r>
      <w:r>
        <w:rPr>
          <w:rFonts w:ascii="宋体" w:hAnsi="宋体" w:cs="仿宋_GB2312"/>
          <w:szCs w:val="21"/>
        </w:rPr>
        <w:t xml:space="preserve">   </w:t>
      </w:r>
      <w:r>
        <w:rPr>
          <w:rFonts w:hint="eastAsia" w:ascii="宋体" w:hAnsi="宋体" w:cs="仿宋_GB2312"/>
          <w:szCs w:val="21"/>
        </w:rPr>
        <w:t>电话/传真：</w:t>
      </w:r>
    </w:p>
    <w:p>
      <w:pPr>
        <w:spacing w:line="440" w:lineRule="exact"/>
        <w:ind w:firstLine="3150" w:firstLineChars="1500"/>
        <w:rPr>
          <w:rFonts w:ascii="宋体" w:hAnsi="宋体" w:cs="仿宋_GB2312"/>
          <w:szCs w:val="21"/>
        </w:rPr>
      </w:pPr>
      <w:r>
        <w:rPr>
          <w:rFonts w:hint="eastAsia" w:ascii="宋体" w:hAnsi="宋体" w:cs="仿宋_GB2312"/>
          <w:szCs w:val="21"/>
        </w:rPr>
        <w:t>地址：</w:t>
      </w:r>
    </w:p>
    <w:p>
      <w:pPr>
        <w:snapToGrid w:val="0"/>
        <w:spacing w:line="440" w:lineRule="exact"/>
        <w:ind w:firstLine="3150" w:firstLineChars="1500"/>
        <w:rPr>
          <w:rFonts w:ascii="宋体" w:hAnsi="宋体" w:cs="仿宋_GB2312"/>
          <w:szCs w:val="21"/>
        </w:rPr>
      </w:pPr>
      <w:r>
        <w:rPr>
          <w:rFonts w:hint="eastAsia" w:ascii="宋体" w:hAnsi="宋体" w:cs="仿宋_GB2312"/>
          <w:szCs w:val="21"/>
        </w:rPr>
        <w:t>日期：     年   月   日</w:t>
      </w:r>
    </w:p>
    <w:p>
      <w:pPr>
        <w:tabs>
          <w:tab w:val="left" w:pos="540"/>
        </w:tabs>
        <w:topLinePunct/>
        <w:ind w:firstLine="723"/>
        <w:jc w:val="left"/>
        <w:rPr>
          <w:rFonts w:ascii="宋体" w:hAnsi="宋体" w:cs="仿宋_GB2312"/>
          <w:szCs w:val="21"/>
        </w:rPr>
      </w:pPr>
      <w:r>
        <w:rPr>
          <w:rFonts w:ascii="宋体" w:hAnsi="宋体" w:cs="仿宋_GB2312"/>
          <w:szCs w:val="21"/>
        </w:rPr>
        <w:br w:type="page"/>
      </w:r>
      <w:r>
        <w:rPr>
          <w:rFonts w:hint="eastAsia" w:ascii="宋体" w:hAnsi="宋体" w:cs="仿宋_GB2312"/>
          <w:szCs w:val="21"/>
        </w:rPr>
        <w:t>附件3：</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276" w:lineRule="auto"/>
        <w:rPr>
          <w:rFonts w:ascii="宋体" w:hAnsi="宋体"/>
          <w:b/>
          <w:sz w:val="22"/>
        </w:rPr>
      </w:pPr>
      <w:r>
        <w:rPr>
          <w:rFonts w:hint="eastAsia" w:ascii="宋体" w:hAnsi="宋体"/>
          <w:b/>
          <w:sz w:val="22"/>
        </w:rPr>
        <w:t>发包人（甲方）：</w:t>
      </w:r>
      <w:r>
        <w:rPr>
          <w:rFonts w:hint="eastAsia" w:ascii="宋体" w:hAnsi="宋体"/>
          <w:b/>
          <w:sz w:val="22"/>
          <w:u w:val="single"/>
        </w:rPr>
        <w:t>杭州萧山国际机场有限公司</w:t>
      </w:r>
    </w:p>
    <w:p>
      <w:pPr>
        <w:spacing w:line="276" w:lineRule="auto"/>
        <w:rPr>
          <w:rFonts w:ascii="宋体" w:hAnsi="宋体"/>
          <w:b/>
          <w:sz w:val="22"/>
          <w:u w:val="single"/>
        </w:rPr>
      </w:pPr>
      <w:r>
        <w:rPr>
          <w:rFonts w:hint="eastAsia" w:ascii="宋体" w:hAnsi="宋体"/>
          <w:b/>
          <w:sz w:val="22"/>
        </w:rPr>
        <w:t>承包人（乙方）：</w:t>
      </w:r>
      <w:r>
        <w:rPr>
          <w:rFonts w:ascii="宋体" w:hAnsi="宋体" w:cs="Calibri"/>
          <w:b/>
          <w:sz w:val="22"/>
          <w:u w:val="single"/>
        </w:rPr>
        <w:t xml:space="preserve"> </w:t>
      </w:r>
      <w:r>
        <w:rPr>
          <w:rFonts w:hint="eastAsia" w:ascii="宋体" w:hAnsi="宋体" w:cs="Calibri"/>
          <w:b/>
          <w:sz w:val="22"/>
          <w:u w:val="single"/>
        </w:rPr>
        <w:t xml:space="preserve"> </w:t>
      </w:r>
      <w:r>
        <w:rPr>
          <w:rFonts w:ascii="宋体" w:hAnsi="宋体" w:cs="Calibri"/>
          <w:b/>
          <w:sz w:val="22"/>
          <w:u w:val="single"/>
        </w:rPr>
        <w:t xml:space="preserve">                  </w:t>
      </w:r>
    </w:p>
    <w:p>
      <w:pPr>
        <w:spacing w:line="276" w:lineRule="auto"/>
        <w:ind w:firstLine="440" w:firstLineChars="200"/>
        <w:rPr>
          <w:rFonts w:ascii="宋体" w:hAnsi="宋体"/>
          <w:sz w:val="22"/>
        </w:rPr>
      </w:pPr>
      <w:r>
        <w:rPr>
          <w:rFonts w:ascii="宋体" w:hAnsi="宋体"/>
          <w:sz w:val="22"/>
        </w:rPr>
        <w:t>为确保</w:t>
      </w:r>
      <w:r>
        <w:rPr>
          <w:rFonts w:hint="eastAsia" w:ascii="宋体" w:hAnsi="宋体"/>
          <w:b/>
          <w:sz w:val="22"/>
          <w:u w:val="single"/>
        </w:rPr>
        <w:t xml:space="preserve">杭州萧山国际机场 </w:t>
      </w:r>
      <w:r>
        <w:rPr>
          <w:rFonts w:ascii="宋体" w:hAnsi="宋体"/>
          <w:b/>
          <w:sz w:val="22"/>
          <w:u w:val="single"/>
        </w:rPr>
        <w:t xml:space="preserve">                    </w:t>
      </w:r>
      <w:r>
        <w:rPr>
          <w:rFonts w:ascii="宋体" w:hAnsi="宋体"/>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276" w:lineRule="auto"/>
        <w:ind w:firstLine="440" w:firstLineChars="200"/>
        <w:rPr>
          <w:rFonts w:ascii="宋体" w:hAnsi="宋体"/>
          <w:bCs/>
          <w:sz w:val="22"/>
        </w:rPr>
      </w:pPr>
      <w:r>
        <w:rPr>
          <w:rFonts w:ascii="宋体" w:hAnsi="宋体"/>
          <w:b/>
          <w:sz w:val="22"/>
        </w:rPr>
        <w:t>一、甲方对乙方实行安全目标管理，安全目标的具体内容是</w:t>
      </w:r>
      <w:r>
        <w:rPr>
          <w:rFonts w:ascii="宋体" w:hAnsi="宋体"/>
          <w:sz w:val="22"/>
        </w:rPr>
        <w:t>：</w:t>
      </w:r>
    </w:p>
    <w:p>
      <w:pPr>
        <w:spacing w:line="276" w:lineRule="auto"/>
        <w:ind w:firstLine="440" w:firstLineChars="200"/>
        <w:rPr>
          <w:rFonts w:ascii="宋体" w:hAnsi="宋体"/>
          <w:sz w:val="22"/>
        </w:rPr>
      </w:pPr>
      <w:r>
        <w:rPr>
          <w:rFonts w:ascii="宋体" w:hAnsi="宋体"/>
          <w:sz w:val="22"/>
        </w:rPr>
        <w:t>1、无死亡事故和重大伤害事故(含道路交通事故)。</w:t>
      </w:r>
    </w:p>
    <w:p>
      <w:pPr>
        <w:spacing w:line="276" w:lineRule="auto"/>
        <w:ind w:firstLine="440" w:firstLineChars="200"/>
        <w:rPr>
          <w:rFonts w:ascii="宋体" w:hAnsi="宋体"/>
          <w:sz w:val="22"/>
        </w:rPr>
      </w:pPr>
      <w:r>
        <w:rPr>
          <w:rFonts w:ascii="宋体" w:hAnsi="宋体"/>
          <w:sz w:val="22"/>
        </w:rPr>
        <w:t>2、无重大责任事故。</w:t>
      </w:r>
    </w:p>
    <w:p>
      <w:pPr>
        <w:spacing w:line="276" w:lineRule="auto"/>
        <w:ind w:firstLine="440" w:firstLineChars="200"/>
        <w:rPr>
          <w:rFonts w:ascii="宋体" w:hAnsi="宋体"/>
          <w:sz w:val="22"/>
        </w:rPr>
      </w:pPr>
      <w:r>
        <w:rPr>
          <w:rFonts w:ascii="宋体" w:hAnsi="宋体"/>
          <w:sz w:val="22"/>
        </w:rPr>
        <w:t>3、无空防安全事故。</w:t>
      </w:r>
    </w:p>
    <w:p>
      <w:pPr>
        <w:spacing w:line="276" w:lineRule="auto"/>
        <w:ind w:firstLine="440" w:firstLineChars="200"/>
        <w:rPr>
          <w:rFonts w:ascii="宋体" w:hAnsi="宋体"/>
          <w:sz w:val="22"/>
        </w:rPr>
      </w:pPr>
      <w:r>
        <w:rPr>
          <w:rFonts w:ascii="宋体" w:hAnsi="宋体"/>
          <w:sz w:val="22"/>
        </w:rPr>
        <w:t>4、无七类重大刑事案件(杀人、绑架、强奸、放火、爆炸、劫持、故意伤害致死)及其它严重、恶性案件。</w:t>
      </w:r>
    </w:p>
    <w:p>
      <w:pPr>
        <w:spacing w:line="276" w:lineRule="auto"/>
        <w:ind w:firstLine="440" w:firstLineChars="200"/>
        <w:rPr>
          <w:rFonts w:ascii="宋体" w:hAnsi="宋体"/>
          <w:sz w:val="22"/>
        </w:rPr>
      </w:pPr>
      <w:r>
        <w:rPr>
          <w:rFonts w:ascii="宋体" w:hAnsi="宋体"/>
          <w:sz w:val="22"/>
        </w:rPr>
        <w:t>上述情况的认定按国家和行业的有关规定和标准执行。</w:t>
      </w:r>
    </w:p>
    <w:p>
      <w:pPr>
        <w:spacing w:line="276" w:lineRule="auto"/>
        <w:ind w:firstLine="440" w:firstLineChars="200"/>
        <w:rPr>
          <w:rFonts w:ascii="宋体" w:hAnsi="宋体"/>
          <w:b/>
          <w:sz w:val="22"/>
        </w:rPr>
      </w:pPr>
      <w:r>
        <w:rPr>
          <w:rFonts w:ascii="宋体" w:hAnsi="宋体"/>
          <w:b/>
          <w:sz w:val="22"/>
        </w:rPr>
        <w:t>二、甲方的协助责任和权利</w:t>
      </w:r>
    </w:p>
    <w:p>
      <w:pPr>
        <w:spacing w:line="276" w:lineRule="auto"/>
        <w:ind w:firstLine="440" w:firstLineChars="200"/>
        <w:rPr>
          <w:rFonts w:ascii="宋体" w:hAnsi="宋体"/>
          <w:sz w:val="22"/>
        </w:rPr>
      </w:pPr>
      <w:r>
        <w:rPr>
          <w:rFonts w:ascii="宋体" w:hAnsi="宋体"/>
          <w:sz w:val="22"/>
        </w:rPr>
        <w:t xml:space="preserve">5、不得对乙方提出违反国家法律、法规和强制性标准规定的要求。 </w:t>
      </w:r>
    </w:p>
    <w:p>
      <w:pPr>
        <w:spacing w:line="276" w:lineRule="auto"/>
        <w:ind w:firstLine="440" w:firstLineChars="200"/>
        <w:rPr>
          <w:rFonts w:ascii="宋体" w:hAnsi="宋体"/>
          <w:sz w:val="22"/>
        </w:rPr>
      </w:pPr>
      <w:r>
        <w:rPr>
          <w:rFonts w:ascii="宋体" w:hAnsi="宋体"/>
          <w:sz w:val="22"/>
        </w:rPr>
        <w:t xml:space="preserve">6、不得要求乙方购买、租赁、使用不符合安全施工要求的安全防护用具、机械设备、施工机具及配件、消防设施和器材等。 </w:t>
      </w:r>
    </w:p>
    <w:p>
      <w:pPr>
        <w:spacing w:line="276" w:lineRule="auto"/>
        <w:ind w:firstLine="440" w:firstLineChars="200"/>
        <w:rPr>
          <w:rFonts w:ascii="宋体" w:hAnsi="宋体"/>
          <w:sz w:val="22"/>
        </w:rPr>
      </w:pPr>
      <w:r>
        <w:rPr>
          <w:rFonts w:ascii="宋体" w:hAnsi="宋体"/>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276" w:lineRule="auto"/>
        <w:ind w:firstLine="440" w:firstLineChars="200"/>
        <w:rPr>
          <w:rFonts w:ascii="宋体" w:hAnsi="宋体"/>
          <w:sz w:val="22"/>
        </w:rPr>
      </w:pPr>
      <w:r>
        <w:rPr>
          <w:rFonts w:ascii="宋体" w:hAnsi="宋体"/>
          <w:sz w:val="22"/>
        </w:rPr>
        <w:t>8、联系和协调机场公安机关，督促施工单位按有关规定申报暂住登记和申领《暂住证》，并协助乙方联系机场公安局商定有关飞行区安全保卫事宜。</w:t>
      </w:r>
    </w:p>
    <w:p>
      <w:pPr>
        <w:spacing w:line="276" w:lineRule="auto"/>
        <w:ind w:firstLine="440" w:firstLineChars="200"/>
        <w:rPr>
          <w:rFonts w:ascii="宋体" w:hAnsi="宋体"/>
          <w:sz w:val="22"/>
        </w:rPr>
      </w:pPr>
      <w:r>
        <w:rPr>
          <w:rFonts w:ascii="宋体" w:hAnsi="宋体"/>
          <w:sz w:val="22"/>
        </w:rPr>
        <w:t>9、利用施工例会定期分析和掌握施工单位的治安情况，通报当前治安形势，交流工作经验，协助处理相关问题。</w:t>
      </w:r>
    </w:p>
    <w:p>
      <w:pPr>
        <w:spacing w:line="276" w:lineRule="auto"/>
        <w:ind w:firstLine="440" w:firstLineChars="200"/>
        <w:rPr>
          <w:rFonts w:ascii="宋体" w:hAnsi="宋体"/>
          <w:sz w:val="22"/>
        </w:rPr>
      </w:pPr>
      <w:r>
        <w:rPr>
          <w:rFonts w:ascii="宋体" w:hAnsi="宋体"/>
          <w:sz w:val="22"/>
        </w:rPr>
        <w:t>10、乙方拒不按照本协议条款规定组织安全文明施工的，甲方有权责令乙方停工整改直至终止合同。</w:t>
      </w:r>
    </w:p>
    <w:p>
      <w:pPr>
        <w:spacing w:line="276" w:lineRule="auto"/>
        <w:ind w:firstLine="440" w:firstLineChars="200"/>
        <w:rPr>
          <w:rFonts w:ascii="宋体" w:hAnsi="宋体"/>
          <w:sz w:val="22"/>
        </w:rPr>
      </w:pPr>
      <w:r>
        <w:rPr>
          <w:rFonts w:ascii="宋体" w:hAnsi="宋体"/>
          <w:sz w:val="22"/>
        </w:rPr>
        <w:t>11、甲方有权对乙方各项安全工作进行监督、检查。</w:t>
      </w:r>
    </w:p>
    <w:p>
      <w:pPr>
        <w:spacing w:line="276" w:lineRule="auto"/>
        <w:ind w:firstLine="440" w:firstLineChars="200"/>
        <w:rPr>
          <w:rFonts w:ascii="宋体" w:hAnsi="宋体"/>
          <w:sz w:val="22"/>
        </w:rPr>
      </w:pPr>
      <w:r>
        <w:rPr>
          <w:rFonts w:ascii="宋体" w:hAnsi="宋体"/>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276" w:lineRule="auto"/>
        <w:ind w:firstLine="440" w:firstLineChars="200"/>
        <w:rPr>
          <w:rFonts w:ascii="宋体" w:hAnsi="宋体"/>
          <w:b/>
          <w:sz w:val="22"/>
        </w:rPr>
      </w:pPr>
      <w:r>
        <w:rPr>
          <w:rFonts w:ascii="宋体" w:hAnsi="宋体"/>
          <w:b/>
          <w:sz w:val="22"/>
        </w:rPr>
        <w:t>三、乙方的安全责任和权利</w:t>
      </w:r>
    </w:p>
    <w:p>
      <w:pPr>
        <w:spacing w:line="276" w:lineRule="auto"/>
        <w:ind w:firstLine="440" w:firstLineChars="200"/>
        <w:rPr>
          <w:rFonts w:ascii="宋体" w:hAnsi="宋体"/>
          <w:sz w:val="22"/>
        </w:rPr>
      </w:pPr>
      <w:r>
        <w:rPr>
          <w:rFonts w:ascii="宋体" w:hAnsi="宋体"/>
          <w:sz w:val="22"/>
        </w:rPr>
        <w:t>（一）乙方应从事的施工安全管理</w:t>
      </w:r>
    </w:p>
    <w:p>
      <w:pPr>
        <w:spacing w:line="276" w:lineRule="auto"/>
        <w:ind w:firstLine="440" w:firstLineChars="200"/>
        <w:rPr>
          <w:rFonts w:ascii="宋体" w:hAnsi="宋体"/>
          <w:sz w:val="22"/>
        </w:rPr>
      </w:pPr>
      <w:r>
        <w:rPr>
          <w:rFonts w:ascii="宋体" w:hAnsi="宋体"/>
          <w:sz w:val="22"/>
        </w:rPr>
        <w:t xml:space="preserve">13、遵守《中华人民共和国安全生产法》、《建设工程安全管理条例》以及其他安全生产的法律、法规，遵守民航航空安全、空防管理的法律、法规，遵守机场有关安全管理的规章制度。 </w:t>
      </w:r>
    </w:p>
    <w:p>
      <w:pPr>
        <w:spacing w:line="276" w:lineRule="auto"/>
        <w:ind w:firstLine="440" w:firstLineChars="200"/>
        <w:rPr>
          <w:rFonts w:ascii="宋体" w:hAnsi="宋体"/>
          <w:sz w:val="22"/>
        </w:rPr>
      </w:pPr>
      <w:r>
        <w:rPr>
          <w:rFonts w:ascii="宋体" w:hAnsi="宋体"/>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276" w:lineRule="auto"/>
        <w:ind w:firstLine="440" w:firstLineChars="200"/>
        <w:rPr>
          <w:rFonts w:ascii="宋体" w:hAnsi="宋体"/>
          <w:sz w:val="22"/>
        </w:rPr>
      </w:pPr>
      <w:r>
        <w:rPr>
          <w:rFonts w:ascii="宋体" w:hAnsi="宋体"/>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276" w:lineRule="auto"/>
        <w:ind w:firstLine="440" w:firstLineChars="200"/>
        <w:rPr>
          <w:rFonts w:ascii="宋体" w:hAnsi="宋体"/>
          <w:sz w:val="22"/>
        </w:rPr>
      </w:pPr>
      <w:r>
        <w:rPr>
          <w:rFonts w:ascii="宋体" w:hAnsi="宋体"/>
          <w:sz w:val="22"/>
        </w:rPr>
        <w:t xml:space="preserve">16、对安全作业环境建设及安全施工措施制定、实行所需的费用，应当列入建设工程预算，专款专用，不得挪作他用。 </w:t>
      </w:r>
    </w:p>
    <w:p>
      <w:pPr>
        <w:spacing w:line="276" w:lineRule="auto"/>
        <w:ind w:firstLine="440" w:firstLineChars="200"/>
        <w:rPr>
          <w:rFonts w:ascii="宋体" w:hAnsi="宋体"/>
          <w:sz w:val="22"/>
        </w:rPr>
      </w:pPr>
      <w:r>
        <w:rPr>
          <w:rFonts w:ascii="宋体" w:hAnsi="宋体"/>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276" w:lineRule="auto"/>
        <w:ind w:firstLine="440" w:firstLineChars="200"/>
        <w:rPr>
          <w:rFonts w:ascii="宋体" w:hAnsi="宋体"/>
          <w:sz w:val="22"/>
        </w:rPr>
      </w:pPr>
      <w:r>
        <w:rPr>
          <w:rFonts w:ascii="宋体" w:hAnsi="宋体"/>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276" w:lineRule="auto"/>
        <w:ind w:firstLine="440" w:firstLineChars="200"/>
        <w:rPr>
          <w:rFonts w:ascii="宋体" w:hAnsi="宋体"/>
          <w:sz w:val="22"/>
        </w:rPr>
      </w:pPr>
      <w:r>
        <w:rPr>
          <w:rFonts w:ascii="宋体" w:hAnsi="宋体"/>
          <w:sz w:val="22"/>
        </w:rPr>
        <w:t xml:space="preserve">19、在施工前，负责项目管理的技术人员应当对有关安全施工的技术要求向作业班组、作业人员做出书面交底，并由双方确认签字。 </w:t>
      </w:r>
    </w:p>
    <w:p>
      <w:pPr>
        <w:spacing w:line="276" w:lineRule="auto"/>
        <w:ind w:firstLine="440" w:firstLineChars="200"/>
        <w:rPr>
          <w:rFonts w:ascii="宋体" w:hAnsi="宋体"/>
          <w:sz w:val="22"/>
        </w:rPr>
      </w:pPr>
      <w:r>
        <w:rPr>
          <w:rFonts w:ascii="宋体" w:hAnsi="宋体"/>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276" w:lineRule="auto"/>
        <w:ind w:firstLine="440" w:firstLineChars="200"/>
        <w:rPr>
          <w:rFonts w:ascii="宋体" w:hAnsi="宋体"/>
          <w:sz w:val="22"/>
        </w:rPr>
      </w:pPr>
      <w:r>
        <w:rPr>
          <w:rFonts w:ascii="宋体" w:hAnsi="宋体"/>
          <w:sz w:val="22"/>
        </w:rPr>
        <w:t xml:space="preserve">21、应当向作业人员提供安全防护用具和安全防护服装，并书面告知危险岗位的操作规程以及违章操作所产生的危害。 </w:t>
      </w:r>
    </w:p>
    <w:p>
      <w:pPr>
        <w:spacing w:line="276" w:lineRule="auto"/>
        <w:ind w:firstLine="440" w:firstLineChars="200"/>
        <w:rPr>
          <w:rFonts w:ascii="宋体" w:hAnsi="宋体"/>
          <w:sz w:val="22"/>
        </w:rPr>
      </w:pPr>
      <w:r>
        <w:rPr>
          <w:rFonts w:ascii="宋体" w:hAnsi="宋体"/>
          <w:sz w:val="22"/>
        </w:rPr>
        <w:t xml:space="preserve">22、采购、租赁的安全防护用具、机械设备、施工机具及配件，应当具有生产许可证、产品合格证，并在进入施工现场前进行查验。 </w:t>
      </w:r>
    </w:p>
    <w:p>
      <w:pPr>
        <w:spacing w:line="276" w:lineRule="auto"/>
        <w:ind w:firstLine="440" w:firstLineChars="200"/>
        <w:rPr>
          <w:rFonts w:ascii="宋体" w:hAnsi="宋体"/>
          <w:sz w:val="22"/>
        </w:rPr>
      </w:pPr>
      <w:r>
        <w:rPr>
          <w:rFonts w:ascii="宋体" w:hAnsi="宋体"/>
          <w:sz w:val="22"/>
        </w:rPr>
        <w:t xml:space="preserve">23、施工现场的安全防护用具、机械设备、施工机具及配件必须由专人管理，并定期检查、维修和保养，建立相应的资料档案，并按照国家规定及时报废。 </w:t>
      </w:r>
    </w:p>
    <w:p>
      <w:pPr>
        <w:spacing w:line="276" w:lineRule="auto"/>
        <w:ind w:firstLine="440" w:firstLineChars="200"/>
        <w:rPr>
          <w:rFonts w:ascii="宋体" w:hAnsi="宋体"/>
          <w:sz w:val="22"/>
        </w:rPr>
      </w:pPr>
      <w:r>
        <w:rPr>
          <w:rFonts w:ascii="宋体" w:hAnsi="宋体"/>
          <w:sz w:val="22"/>
        </w:rPr>
        <w:t xml:space="preserve">24、在采用新技术、新工艺、新设备、新材料时，应当对作业人员进行相应的安全生产教育培训。 </w:t>
      </w:r>
    </w:p>
    <w:p>
      <w:pPr>
        <w:spacing w:line="276" w:lineRule="auto"/>
        <w:ind w:firstLine="440" w:firstLineChars="200"/>
        <w:rPr>
          <w:rFonts w:ascii="宋体" w:hAnsi="宋体"/>
          <w:sz w:val="22"/>
        </w:rPr>
      </w:pPr>
      <w:r>
        <w:rPr>
          <w:rFonts w:ascii="宋体" w:hAnsi="宋体"/>
          <w:sz w:val="22"/>
        </w:rPr>
        <w:t xml:space="preserve">25、应当为施工现场从事危险作业的人员办理意外伤害保险，并支付意外伤害保险费。意外伤害保险期自建设工程开工之日起至竣工验收合格止。 </w:t>
      </w:r>
    </w:p>
    <w:p>
      <w:pPr>
        <w:spacing w:line="276" w:lineRule="auto"/>
        <w:ind w:firstLine="440" w:firstLineChars="200"/>
        <w:rPr>
          <w:rFonts w:ascii="宋体" w:hAnsi="宋体"/>
          <w:sz w:val="22"/>
        </w:rPr>
      </w:pPr>
      <w:r>
        <w:rPr>
          <w:rFonts w:ascii="宋体" w:hAnsi="宋体"/>
          <w:sz w:val="22"/>
        </w:rPr>
        <w:t>26、乙方不得在机场和机场净空保护区范围内施放烟花、爆竹、气球等升空物体；不得随意焚烧垃圾等物品制造烟雾；不得饲养动物；不得随意丢弃飘浮物。</w:t>
      </w:r>
    </w:p>
    <w:p>
      <w:pPr>
        <w:spacing w:line="276" w:lineRule="auto"/>
        <w:ind w:firstLine="440" w:firstLineChars="200"/>
        <w:rPr>
          <w:rFonts w:ascii="宋体" w:hAnsi="宋体"/>
          <w:sz w:val="22"/>
        </w:rPr>
      </w:pPr>
      <w:r>
        <w:rPr>
          <w:rFonts w:ascii="宋体" w:hAnsi="宋体"/>
          <w:sz w:val="22"/>
        </w:rPr>
        <w:t>（二）乙方应从事的空防安全管理</w:t>
      </w:r>
    </w:p>
    <w:p>
      <w:pPr>
        <w:spacing w:line="276" w:lineRule="auto"/>
        <w:ind w:firstLine="440" w:firstLineChars="200"/>
        <w:rPr>
          <w:rFonts w:ascii="宋体" w:hAnsi="宋体"/>
          <w:sz w:val="22"/>
        </w:rPr>
      </w:pPr>
      <w:r>
        <w:rPr>
          <w:rFonts w:ascii="宋体" w:hAnsi="宋体"/>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276" w:lineRule="auto"/>
        <w:ind w:firstLine="440" w:firstLineChars="200"/>
        <w:rPr>
          <w:rFonts w:ascii="宋体" w:hAnsi="宋体"/>
          <w:sz w:val="22"/>
        </w:rPr>
      </w:pPr>
      <w:r>
        <w:rPr>
          <w:rFonts w:ascii="宋体" w:hAnsi="宋体"/>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276" w:lineRule="auto"/>
        <w:ind w:firstLine="440" w:firstLineChars="200"/>
        <w:rPr>
          <w:rFonts w:ascii="宋体" w:hAnsi="宋体"/>
          <w:sz w:val="22"/>
        </w:rPr>
      </w:pPr>
      <w:r>
        <w:rPr>
          <w:rFonts w:ascii="宋体" w:hAnsi="宋体"/>
          <w:sz w:val="22"/>
        </w:rPr>
        <w:t>29、需进入机场控制区施工的人员和车辆需主动接受机场管理人员的检查，并服从机场相关职能部门的监管，无通行证者一律不得进入。</w:t>
      </w:r>
    </w:p>
    <w:p>
      <w:pPr>
        <w:spacing w:line="276" w:lineRule="auto"/>
        <w:ind w:firstLine="440" w:firstLineChars="200"/>
        <w:rPr>
          <w:rFonts w:ascii="宋体" w:hAnsi="宋体"/>
          <w:sz w:val="22"/>
        </w:rPr>
      </w:pPr>
      <w:r>
        <w:rPr>
          <w:rFonts w:ascii="宋体" w:hAnsi="宋体"/>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276" w:lineRule="auto"/>
        <w:ind w:firstLine="440" w:firstLineChars="200"/>
        <w:rPr>
          <w:rFonts w:ascii="宋体" w:hAnsi="宋体"/>
          <w:sz w:val="22"/>
        </w:rPr>
      </w:pPr>
      <w:r>
        <w:rPr>
          <w:rFonts w:ascii="宋体" w:hAnsi="宋体"/>
          <w:sz w:val="22"/>
        </w:rPr>
        <w:t>（三）乙方应从事的不停航施工项目安全管理</w:t>
      </w:r>
    </w:p>
    <w:p>
      <w:pPr>
        <w:spacing w:line="276" w:lineRule="auto"/>
        <w:ind w:firstLine="440" w:firstLineChars="200"/>
        <w:rPr>
          <w:rFonts w:ascii="宋体" w:hAnsi="宋体"/>
          <w:sz w:val="22"/>
        </w:rPr>
      </w:pPr>
      <w:r>
        <w:rPr>
          <w:rFonts w:ascii="宋体" w:hAnsi="宋体"/>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276" w:lineRule="auto"/>
        <w:ind w:firstLine="440" w:firstLineChars="200"/>
        <w:rPr>
          <w:rFonts w:ascii="宋体" w:hAnsi="宋体"/>
          <w:sz w:val="22"/>
        </w:rPr>
      </w:pPr>
      <w:r>
        <w:rPr>
          <w:rFonts w:ascii="宋体" w:hAnsi="宋体"/>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276" w:lineRule="auto"/>
        <w:ind w:firstLine="440" w:firstLineChars="200"/>
        <w:rPr>
          <w:rFonts w:ascii="宋体" w:hAnsi="宋体"/>
          <w:sz w:val="22"/>
        </w:rPr>
      </w:pPr>
      <w:r>
        <w:rPr>
          <w:rFonts w:ascii="宋体" w:hAnsi="宋体"/>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276" w:lineRule="auto"/>
        <w:ind w:firstLine="440" w:firstLineChars="200"/>
        <w:rPr>
          <w:rFonts w:ascii="宋体" w:hAnsi="宋体"/>
          <w:sz w:val="22"/>
        </w:rPr>
      </w:pPr>
      <w:r>
        <w:rPr>
          <w:rFonts w:ascii="宋体" w:hAnsi="宋体"/>
          <w:sz w:val="22"/>
        </w:rPr>
        <w:t>34、施工机具须停放在指定安全区域内。机场开放运行期间，必须严格控制施工机械的活动范围，杜绝出现机具、车辆侵入隔离区或超越机场净空限制面等情况。</w:t>
      </w:r>
    </w:p>
    <w:p>
      <w:pPr>
        <w:spacing w:line="276" w:lineRule="auto"/>
        <w:ind w:firstLine="440" w:firstLineChars="200"/>
        <w:rPr>
          <w:rFonts w:ascii="宋体" w:hAnsi="宋体"/>
          <w:sz w:val="22"/>
        </w:rPr>
      </w:pPr>
      <w:r>
        <w:rPr>
          <w:rFonts w:ascii="宋体" w:hAnsi="宋体"/>
          <w:sz w:val="22"/>
        </w:rPr>
        <w:t xml:space="preserve">（四）乙方的文明施工责任 </w:t>
      </w:r>
    </w:p>
    <w:p>
      <w:pPr>
        <w:spacing w:line="276" w:lineRule="auto"/>
        <w:ind w:firstLine="440" w:firstLineChars="200"/>
        <w:rPr>
          <w:rFonts w:ascii="宋体" w:hAnsi="宋体"/>
          <w:sz w:val="22"/>
        </w:rPr>
      </w:pPr>
      <w:r>
        <w:rPr>
          <w:rFonts w:ascii="宋体" w:hAnsi="宋体"/>
          <w:sz w:val="22"/>
        </w:rPr>
        <w:t>35、按照《建筑施工安全检查标准》JGJ59—99的标准和浙江省、杭州市有关文明施工检查评分标准做好文明施工，保证施工项目文明施工合格。</w:t>
      </w:r>
    </w:p>
    <w:p>
      <w:pPr>
        <w:spacing w:line="276" w:lineRule="auto"/>
        <w:ind w:firstLine="220" w:firstLineChars="100"/>
        <w:rPr>
          <w:rFonts w:ascii="宋体" w:hAnsi="宋体"/>
          <w:sz w:val="22"/>
        </w:rPr>
      </w:pPr>
      <w:r>
        <w:rPr>
          <w:rFonts w:ascii="宋体" w:hAnsi="宋体"/>
          <w:sz w:val="22"/>
        </w:rPr>
        <w:t xml:space="preserve">  36、建筑材料、构件、料具必须按施工现场总平面布置图堆放，布置合理，并有标识。如有易燃易爆物品应有专门场所分类堆放，专人负责，符合相关消防规定，确保安全。</w:t>
      </w:r>
    </w:p>
    <w:p>
      <w:pPr>
        <w:spacing w:line="276" w:lineRule="auto"/>
        <w:ind w:firstLine="440" w:firstLineChars="200"/>
        <w:rPr>
          <w:rFonts w:ascii="宋体" w:hAnsi="宋体"/>
          <w:sz w:val="22"/>
        </w:rPr>
      </w:pPr>
      <w:r>
        <w:rPr>
          <w:rFonts w:ascii="宋体" w:hAnsi="宋体"/>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276" w:lineRule="auto"/>
        <w:ind w:firstLine="440" w:firstLineChars="200"/>
        <w:rPr>
          <w:rFonts w:ascii="宋体" w:hAnsi="宋体"/>
          <w:sz w:val="22"/>
        </w:rPr>
      </w:pPr>
      <w:r>
        <w:rPr>
          <w:rFonts w:ascii="宋体" w:hAnsi="宋体"/>
          <w:sz w:val="22"/>
        </w:rPr>
        <w:t>（五）乙方应从事的社会治安综合治理</w:t>
      </w:r>
    </w:p>
    <w:p>
      <w:pPr>
        <w:spacing w:line="276" w:lineRule="auto"/>
        <w:ind w:firstLine="440" w:firstLineChars="200"/>
        <w:rPr>
          <w:rFonts w:ascii="宋体" w:hAnsi="宋体"/>
          <w:sz w:val="22"/>
        </w:rPr>
      </w:pPr>
      <w:r>
        <w:rPr>
          <w:rFonts w:ascii="宋体" w:hAnsi="宋体"/>
          <w:sz w:val="22"/>
        </w:rPr>
        <w:t>38、做好内部的治安防范工作，对重要部位和物资，要落实人防、物防和技防的措施，积极配合公安机关组织的治安联防活动。</w:t>
      </w:r>
    </w:p>
    <w:p>
      <w:pPr>
        <w:spacing w:line="276" w:lineRule="auto"/>
        <w:ind w:firstLine="440" w:firstLineChars="200"/>
        <w:rPr>
          <w:rFonts w:ascii="宋体" w:hAnsi="宋体"/>
          <w:sz w:val="22"/>
        </w:rPr>
      </w:pPr>
      <w:r>
        <w:rPr>
          <w:rFonts w:ascii="宋体" w:hAnsi="宋体"/>
          <w:sz w:val="22"/>
        </w:rPr>
        <w:t>39、认真排查、调处各类矛盾，及时消除隐患，杜绝各类社会矛盾引发的群体性事件的发生。</w:t>
      </w:r>
    </w:p>
    <w:p>
      <w:pPr>
        <w:spacing w:line="276" w:lineRule="auto"/>
        <w:ind w:firstLine="440" w:firstLineChars="200"/>
        <w:rPr>
          <w:rFonts w:ascii="宋体" w:hAnsi="宋体"/>
          <w:sz w:val="22"/>
        </w:rPr>
      </w:pPr>
      <w:r>
        <w:rPr>
          <w:rFonts w:ascii="宋体" w:hAnsi="宋体"/>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276" w:lineRule="auto"/>
        <w:ind w:firstLine="440" w:firstLineChars="200"/>
        <w:rPr>
          <w:rFonts w:ascii="宋体" w:hAnsi="宋体"/>
          <w:sz w:val="22"/>
        </w:rPr>
      </w:pPr>
      <w:r>
        <w:rPr>
          <w:rFonts w:ascii="宋体" w:hAnsi="宋体"/>
          <w:sz w:val="22"/>
        </w:rPr>
        <w:t>（六）乙方应从事的消防安全管理</w:t>
      </w:r>
    </w:p>
    <w:p>
      <w:pPr>
        <w:spacing w:line="276" w:lineRule="auto"/>
        <w:ind w:firstLine="440" w:firstLineChars="200"/>
        <w:rPr>
          <w:rFonts w:ascii="宋体" w:hAnsi="宋体"/>
          <w:sz w:val="22"/>
        </w:rPr>
      </w:pPr>
      <w:r>
        <w:rPr>
          <w:rFonts w:ascii="宋体" w:hAnsi="宋体"/>
          <w:sz w:val="22"/>
        </w:rPr>
        <w:t>41、遵守国家消防法律法规，建立和健全消防管理规章制度，明确消防安全责任人，健全消防安全网络（配备专职或兼职消防员），建立消防应急队伍，并报甲方和机场公安局消防部门备案。</w:t>
      </w:r>
    </w:p>
    <w:p>
      <w:pPr>
        <w:spacing w:line="276" w:lineRule="auto"/>
        <w:ind w:firstLine="440" w:firstLineChars="200"/>
        <w:rPr>
          <w:rFonts w:ascii="宋体" w:hAnsi="宋体"/>
          <w:sz w:val="22"/>
        </w:rPr>
      </w:pPr>
      <w:r>
        <w:rPr>
          <w:rFonts w:ascii="宋体" w:hAnsi="宋体"/>
          <w:sz w:val="22"/>
        </w:rPr>
        <w:t>42、制定用火、用电、使用易燃材料等各项消防安全操作规程，设置消防通道、消防水源、配备必须的消防设备和灭火器材，并在重点场所重点部位设置消防警示标志。</w:t>
      </w:r>
    </w:p>
    <w:p>
      <w:pPr>
        <w:spacing w:line="276" w:lineRule="auto"/>
        <w:ind w:firstLine="440" w:firstLineChars="200"/>
        <w:rPr>
          <w:rFonts w:ascii="宋体" w:hAnsi="宋体"/>
          <w:sz w:val="22"/>
        </w:rPr>
      </w:pPr>
      <w:r>
        <w:rPr>
          <w:rFonts w:ascii="宋体" w:hAnsi="宋体"/>
          <w:sz w:val="22"/>
        </w:rPr>
        <w:t>43、施工中使用明火，使用电、气进行焊接和切割作业，须经机场公安消防管理部门审查批准，未经批准一律不得使用。</w:t>
      </w:r>
    </w:p>
    <w:p>
      <w:pPr>
        <w:spacing w:line="276" w:lineRule="auto"/>
        <w:ind w:firstLine="440" w:firstLineChars="200"/>
        <w:rPr>
          <w:rFonts w:ascii="宋体" w:hAnsi="宋体"/>
          <w:sz w:val="22"/>
        </w:rPr>
      </w:pPr>
      <w:r>
        <w:rPr>
          <w:rFonts w:ascii="宋体" w:hAnsi="宋体"/>
          <w:sz w:val="22"/>
        </w:rPr>
        <w:t>44、加强对施工人员进行消防安全教育，使其熟悉本岗位防火措施、遇险报警、初期扑救及自救逃生的知识和技能。</w:t>
      </w:r>
    </w:p>
    <w:p>
      <w:pPr>
        <w:spacing w:line="276" w:lineRule="auto"/>
        <w:ind w:firstLine="440" w:firstLineChars="200"/>
        <w:rPr>
          <w:rFonts w:ascii="宋体" w:hAnsi="宋体"/>
          <w:sz w:val="22"/>
        </w:rPr>
      </w:pPr>
      <w:r>
        <w:rPr>
          <w:rFonts w:ascii="宋体" w:hAnsi="宋体"/>
          <w:sz w:val="22"/>
        </w:rPr>
        <w:t>（七）乙方应从事的交通安全管理</w:t>
      </w:r>
    </w:p>
    <w:p>
      <w:pPr>
        <w:spacing w:line="276" w:lineRule="auto"/>
        <w:ind w:firstLine="440" w:firstLineChars="200"/>
        <w:rPr>
          <w:rFonts w:ascii="宋体" w:hAnsi="宋体"/>
          <w:sz w:val="22"/>
        </w:rPr>
      </w:pPr>
      <w:r>
        <w:rPr>
          <w:rFonts w:ascii="宋体" w:hAnsi="宋体"/>
          <w:sz w:val="22"/>
        </w:rPr>
        <w:t>45、加强对下属员工、驾驶人员、承运单位的道路交通安全法律法规宣传教育，车辆进出机场和施工场地均应服从交警及其他交通管理人员的指挥和管理。</w:t>
      </w:r>
    </w:p>
    <w:p>
      <w:pPr>
        <w:spacing w:line="276" w:lineRule="auto"/>
        <w:ind w:firstLine="440" w:firstLineChars="200"/>
        <w:rPr>
          <w:rFonts w:ascii="宋体" w:hAnsi="宋体"/>
          <w:sz w:val="22"/>
        </w:rPr>
      </w:pPr>
      <w:r>
        <w:rPr>
          <w:rFonts w:ascii="宋体" w:hAnsi="宋体"/>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276" w:lineRule="auto"/>
        <w:ind w:firstLine="440" w:firstLineChars="200"/>
        <w:rPr>
          <w:rFonts w:ascii="宋体" w:hAnsi="宋体"/>
          <w:sz w:val="22"/>
        </w:rPr>
      </w:pPr>
      <w:r>
        <w:rPr>
          <w:rFonts w:ascii="宋体" w:hAnsi="宋体"/>
          <w:sz w:val="22"/>
        </w:rPr>
        <w:t>47、确保各类运输车辆技术状况良好，不得使用无号牌、无行驶证、无保险和带故障、检验不合格的运输车辆，不得使用拖拉机和农用运输车。</w:t>
      </w:r>
    </w:p>
    <w:p>
      <w:pPr>
        <w:spacing w:line="276" w:lineRule="auto"/>
        <w:ind w:firstLine="440" w:firstLineChars="200"/>
        <w:rPr>
          <w:rFonts w:ascii="宋体" w:hAnsi="宋体"/>
          <w:sz w:val="22"/>
        </w:rPr>
      </w:pPr>
      <w:r>
        <w:rPr>
          <w:rFonts w:ascii="宋体" w:hAnsi="宋体"/>
          <w:sz w:val="22"/>
        </w:rPr>
        <w:t>48、所有运输车辆均应办理施工通行证并按指定路线和限定速度行驶，不得违反车辆装载规定：超载、超高、超宽。进入控制区施工车辆应开启黄色警示灯。</w:t>
      </w:r>
    </w:p>
    <w:p>
      <w:pPr>
        <w:spacing w:line="276" w:lineRule="auto"/>
        <w:ind w:firstLine="440" w:firstLineChars="200"/>
        <w:rPr>
          <w:rFonts w:ascii="宋体" w:hAnsi="宋体"/>
          <w:sz w:val="22"/>
        </w:rPr>
      </w:pPr>
      <w:r>
        <w:rPr>
          <w:rFonts w:ascii="宋体" w:hAnsi="宋体"/>
          <w:sz w:val="22"/>
        </w:rPr>
        <w:t>49、占用、挖掘道路，跨越道路架设、铺设管线以及大型机械进出机场须提前与甲方协商，征得甲方和机场公安局交警队同意，并采取防护措施和设置明显警示标志方可实施。</w:t>
      </w:r>
    </w:p>
    <w:p>
      <w:pPr>
        <w:spacing w:line="276" w:lineRule="auto"/>
        <w:ind w:firstLine="440" w:firstLineChars="200"/>
        <w:rPr>
          <w:rFonts w:ascii="宋体" w:hAnsi="宋体"/>
          <w:b/>
          <w:sz w:val="22"/>
        </w:rPr>
      </w:pPr>
      <w:r>
        <w:rPr>
          <w:rFonts w:ascii="宋体" w:hAnsi="宋体"/>
          <w:b/>
          <w:sz w:val="22"/>
        </w:rPr>
        <w:t>四、违约责任</w:t>
      </w:r>
    </w:p>
    <w:p>
      <w:pPr>
        <w:spacing w:line="276" w:lineRule="auto"/>
        <w:ind w:firstLine="440" w:firstLineChars="200"/>
        <w:rPr>
          <w:rFonts w:ascii="宋体" w:hAnsi="宋体"/>
          <w:sz w:val="22"/>
        </w:rPr>
      </w:pPr>
      <w:r>
        <w:rPr>
          <w:rFonts w:ascii="宋体" w:hAnsi="宋体"/>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276" w:lineRule="auto"/>
        <w:ind w:firstLine="440" w:firstLineChars="200"/>
        <w:rPr>
          <w:rFonts w:ascii="宋体" w:hAnsi="宋体"/>
          <w:sz w:val="22"/>
        </w:rPr>
      </w:pPr>
      <w:r>
        <w:rPr>
          <w:rFonts w:ascii="宋体" w:hAnsi="宋体"/>
          <w:sz w:val="22"/>
        </w:rPr>
        <w:t>51、严禁因乙方行为导致发生飞行事故征侯，违者扣合同总款的20%，如发生飞行事故扣合同年度总款50％，并追究法律责任。</w:t>
      </w:r>
    </w:p>
    <w:p>
      <w:pPr>
        <w:spacing w:line="276" w:lineRule="auto"/>
        <w:ind w:firstLine="440" w:firstLineChars="200"/>
        <w:rPr>
          <w:rFonts w:ascii="宋体" w:hAnsi="宋体"/>
          <w:sz w:val="22"/>
        </w:rPr>
      </w:pPr>
      <w:r>
        <w:rPr>
          <w:rFonts w:ascii="宋体" w:hAnsi="宋体"/>
          <w:sz w:val="22"/>
        </w:rPr>
        <w:t>五、</w:t>
      </w:r>
      <w:r>
        <w:rPr>
          <w:rFonts w:ascii="宋体" w:hAnsi="宋体"/>
          <w:b/>
          <w:sz w:val="22"/>
        </w:rPr>
        <w:t>本协议书附于《</w:t>
      </w:r>
      <w:r>
        <w:rPr>
          <w:rFonts w:hint="eastAsia" w:ascii="宋体" w:hAnsi="宋体"/>
          <w:b/>
          <w:sz w:val="22"/>
          <w:u w:val="single"/>
        </w:rPr>
        <w:t xml:space="preserve"> </w:t>
      </w:r>
      <w:r>
        <w:rPr>
          <w:rFonts w:ascii="宋体" w:hAnsi="宋体"/>
          <w:b/>
          <w:sz w:val="22"/>
          <w:u w:val="single"/>
        </w:rPr>
        <w:t xml:space="preserve">                                         </w:t>
      </w:r>
      <w:r>
        <w:rPr>
          <w:rFonts w:hint="eastAsia" w:ascii="宋体" w:hAnsi="宋体"/>
          <w:b/>
          <w:sz w:val="22"/>
          <w:u w:val="single"/>
        </w:rPr>
        <w:t>合同</w:t>
      </w:r>
      <w:r>
        <w:rPr>
          <w:rFonts w:ascii="宋体" w:hAnsi="宋体"/>
          <w:b/>
          <w:sz w:val="22"/>
        </w:rPr>
        <w:t>》后，</w:t>
      </w:r>
      <w:r>
        <w:rPr>
          <w:rFonts w:hint="eastAsia" w:ascii="宋体" w:hAnsi="宋体"/>
          <w:b/>
          <w:sz w:val="22"/>
        </w:rPr>
        <w:t>甲乙双方</w:t>
      </w:r>
      <w:r>
        <w:rPr>
          <w:rFonts w:ascii="宋体" w:hAnsi="宋体"/>
          <w:b/>
          <w:sz w:val="22"/>
        </w:rPr>
        <w:t>盖章后生效。</w:t>
      </w:r>
    </w:p>
    <w:p>
      <w:pPr>
        <w:adjustRightInd w:val="0"/>
        <w:snapToGrid w:val="0"/>
        <w:spacing w:line="276" w:lineRule="auto"/>
        <w:rPr>
          <w:rFonts w:ascii="宋体" w:hAnsi="宋体"/>
          <w:b/>
          <w:bCs/>
          <w:sz w:val="22"/>
        </w:rPr>
      </w:pPr>
      <w:r>
        <w:rPr>
          <w:rFonts w:ascii="宋体" w:hAnsi="宋体"/>
          <w:b/>
          <w:bCs/>
          <w:sz w:val="22"/>
        </w:rPr>
        <w:t>五、附则：</w:t>
      </w:r>
    </w:p>
    <w:p>
      <w:pPr>
        <w:adjustRightInd w:val="0"/>
        <w:snapToGrid w:val="0"/>
        <w:spacing w:line="276" w:lineRule="auto"/>
        <w:rPr>
          <w:rFonts w:ascii="宋体" w:hAnsi="宋体"/>
          <w:sz w:val="22"/>
        </w:rPr>
      </w:pPr>
      <w:r>
        <w:rPr>
          <w:rFonts w:ascii="宋体" w:hAnsi="宋体"/>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276" w:lineRule="auto"/>
        <w:rPr>
          <w:rFonts w:ascii="宋体" w:hAnsi="宋体"/>
          <w:sz w:val="22"/>
        </w:rPr>
      </w:pPr>
      <w:r>
        <w:rPr>
          <w:rFonts w:ascii="宋体" w:hAnsi="宋体"/>
          <w:sz w:val="22"/>
        </w:rPr>
        <w:t>（二）本责任书解释权归甲方。</w:t>
      </w:r>
    </w:p>
    <w:p>
      <w:pPr>
        <w:adjustRightInd w:val="0"/>
        <w:snapToGrid w:val="0"/>
        <w:spacing w:line="276" w:lineRule="auto"/>
        <w:rPr>
          <w:rFonts w:ascii="宋体" w:hAnsi="宋体"/>
          <w:sz w:val="22"/>
        </w:rPr>
      </w:pPr>
    </w:p>
    <w:p>
      <w:pPr>
        <w:spacing w:line="276" w:lineRule="auto"/>
        <w:rPr>
          <w:rFonts w:ascii="宋体" w:hAnsi="宋体"/>
          <w:b/>
          <w:sz w:val="22"/>
        </w:rPr>
      </w:pPr>
      <w:r>
        <w:rPr>
          <w:rFonts w:hint="eastAsia" w:ascii="宋体" w:hAnsi="宋体"/>
          <w:b/>
          <w:sz w:val="22"/>
        </w:rPr>
        <w:t xml:space="preserve">发    包    人（盖章）：             </w:t>
      </w:r>
      <w:r>
        <w:rPr>
          <w:rFonts w:hint="eastAsia" w:ascii="宋体" w:hAnsi="宋体"/>
          <w:b/>
          <w:sz w:val="22"/>
        </w:rPr>
        <w:tab/>
      </w:r>
      <w:r>
        <w:rPr>
          <w:rFonts w:ascii="宋体" w:hAnsi="宋体"/>
          <w:b/>
          <w:sz w:val="22"/>
        </w:rPr>
        <w:t xml:space="preserve">  </w:t>
      </w:r>
      <w:r>
        <w:rPr>
          <w:rFonts w:hint="eastAsia" w:ascii="宋体" w:hAnsi="宋体"/>
          <w:b/>
          <w:sz w:val="22"/>
        </w:rPr>
        <w:t>承    包    人（盖章）：</w:t>
      </w:r>
    </w:p>
    <w:p>
      <w:pPr>
        <w:widowControl/>
        <w:spacing w:line="276" w:lineRule="auto"/>
        <w:jc w:val="left"/>
        <w:rPr>
          <w:rFonts w:ascii="宋体" w:hAnsi="宋体"/>
          <w:b/>
          <w:sz w:val="22"/>
        </w:rPr>
      </w:pPr>
      <w:r>
        <w:rPr>
          <w:rFonts w:ascii="宋体" w:hAnsi="宋体"/>
          <w:b/>
          <w:sz w:val="22"/>
        </w:rPr>
        <w:br w:type="page"/>
      </w:r>
    </w:p>
    <w:p>
      <w:pPr>
        <w:rPr>
          <w:rFonts w:ascii="宋体" w:hAnsi="宋体"/>
          <w:b/>
          <w:sz w:val="22"/>
        </w:rPr>
      </w:pPr>
      <w:r>
        <w:rPr>
          <w:rFonts w:hint="eastAsia" w:ascii="宋体" w:hAnsi="宋体"/>
          <w:b/>
          <w:sz w:val="22"/>
        </w:rPr>
        <w:t>附件4：消防安全责任书</w:t>
      </w:r>
    </w:p>
    <w:p>
      <w:pPr>
        <w:ind w:firstLine="440" w:firstLineChars="200"/>
        <w:jc w:val="center"/>
        <w:rPr>
          <w:rFonts w:ascii="宋体" w:hAnsi="宋体"/>
          <w:sz w:val="22"/>
        </w:rPr>
      </w:pPr>
      <w:r>
        <w:rPr>
          <w:rFonts w:hint="eastAsia" w:ascii="宋体" w:hAnsi="宋体"/>
          <w:sz w:val="22"/>
        </w:rPr>
        <w:t>消防安全责任书</w:t>
      </w:r>
    </w:p>
    <w:p>
      <w:pPr>
        <w:spacing w:line="276" w:lineRule="auto"/>
        <w:ind w:firstLine="440" w:firstLineChars="200"/>
        <w:rPr>
          <w:rFonts w:ascii="宋体" w:hAnsi="宋体"/>
          <w:sz w:val="22"/>
        </w:rPr>
      </w:pPr>
      <w:r>
        <w:rPr>
          <w:rFonts w:hint="eastAsia" w:ascii="宋体" w:hAnsi="宋体"/>
          <w:sz w:val="22"/>
        </w:rPr>
        <w:t>为加强杭州萧山国际机场消防重点部位的消防安全管理，贯彻“预防为主”、“谁使用谁负责”的原则，杜绝楼内火灾事故的发生，根据有关法律法规和《杭州萧山国际机场有限公司消防安全管理暂行规定》，《杭州萧山国际机场信息大楼消防安全管理规定》为明确消防安全管理责任，甲方与乙方签订消防安全责任书，具体内容如下：</w:t>
      </w:r>
    </w:p>
    <w:p>
      <w:pPr>
        <w:spacing w:line="276" w:lineRule="auto"/>
        <w:ind w:firstLine="440" w:firstLineChars="200"/>
        <w:rPr>
          <w:rFonts w:ascii="宋体" w:hAnsi="宋体"/>
          <w:sz w:val="22"/>
        </w:rPr>
      </w:pPr>
      <w:r>
        <w:rPr>
          <w:rFonts w:hint="eastAsia" w:ascii="宋体" w:hAnsi="宋体"/>
          <w:sz w:val="22"/>
        </w:rPr>
        <w:t>一、组织领导</w:t>
      </w:r>
    </w:p>
    <w:p>
      <w:pPr>
        <w:spacing w:line="276" w:lineRule="auto"/>
        <w:ind w:firstLine="440" w:firstLineChars="200"/>
        <w:rPr>
          <w:rFonts w:ascii="宋体" w:hAnsi="宋体"/>
          <w:sz w:val="22"/>
        </w:rPr>
      </w:pPr>
      <w:r>
        <w:rPr>
          <w:rFonts w:hint="eastAsia" w:ascii="宋体" w:hAnsi="宋体"/>
          <w:sz w:val="22"/>
        </w:rPr>
        <w:t>1、各单位要本着“预防为主”、“谁使用谁负责”的原则，切实加强本单位所使用区域的消防领导工作，将消防工作纳入本单位的生产运行及安全保障工作中。</w:t>
      </w:r>
    </w:p>
    <w:p>
      <w:pPr>
        <w:spacing w:line="276" w:lineRule="auto"/>
        <w:ind w:firstLine="440" w:firstLineChars="200"/>
        <w:rPr>
          <w:rFonts w:ascii="宋体" w:hAnsi="宋体"/>
          <w:sz w:val="22"/>
        </w:rPr>
      </w:pPr>
      <w:r>
        <w:rPr>
          <w:rFonts w:hint="eastAsia" w:ascii="宋体" w:hAnsi="宋体"/>
          <w:sz w:val="22"/>
        </w:rPr>
        <w:t>2、全面推行消防安全责任制，在本单位范围内普遍实行逐级防火责任制和岗位责任制。</w:t>
      </w:r>
    </w:p>
    <w:p>
      <w:pPr>
        <w:spacing w:line="276" w:lineRule="auto"/>
        <w:ind w:firstLine="440" w:firstLineChars="200"/>
        <w:rPr>
          <w:rFonts w:ascii="宋体" w:hAnsi="宋体"/>
          <w:sz w:val="22"/>
        </w:rPr>
      </w:pPr>
      <w:r>
        <w:rPr>
          <w:rFonts w:hint="eastAsia" w:ascii="宋体" w:hAnsi="宋体"/>
          <w:sz w:val="22"/>
        </w:rPr>
        <w:t>3、本单位责任区域消防安全员要协调做好本单位的消防安全工作，定期进行消防安全巡查，切实落实消防安全预防措施。</w:t>
      </w:r>
    </w:p>
    <w:p>
      <w:pPr>
        <w:spacing w:line="276" w:lineRule="auto"/>
        <w:ind w:firstLine="440" w:firstLineChars="200"/>
        <w:rPr>
          <w:rFonts w:ascii="宋体" w:hAnsi="宋体"/>
          <w:sz w:val="22"/>
        </w:rPr>
      </w:pPr>
      <w:r>
        <w:rPr>
          <w:rFonts w:hint="eastAsia" w:ascii="宋体" w:hAnsi="宋体"/>
          <w:sz w:val="22"/>
        </w:rPr>
        <w:t>二、消防安全措施</w:t>
      </w:r>
    </w:p>
    <w:p>
      <w:pPr>
        <w:spacing w:line="276" w:lineRule="auto"/>
        <w:ind w:firstLine="440" w:firstLineChars="200"/>
        <w:rPr>
          <w:rFonts w:ascii="宋体" w:hAnsi="宋体"/>
          <w:sz w:val="22"/>
        </w:rPr>
      </w:pPr>
      <w:r>
        <w:rPr>
          <w:rFonts w:hint="eastAsia" w:ascii="宋体" w:hAnsi="宋体"/>
          <w:sz w:val="22"/>
        </w:rPr>
        <w:t xml:space="preserve">1、本单位应结合实际情况，制定消防安全管理制度，实行消防安全责任制，并经常检查监督落实情况；做到管理有制度、操作有规程、工作有记录。 </w:t>
      </w:r>
    </w:p>
    <w:p>
      <w:pPr>
        <w:spacing w:line="276" w:lineRule="auto"/>
        <w:ind w:firstLine="440" w:firstLineChars="200"/>
        <w:rPr>
          <w:rFonts w:ascii="宋体" w:hAnsi="宋体"/>
          <w:sz w:val="22"/>
        </w:rPr>
      </w:pPr>
      <w:r>
        <w:rPr>
          <w:rFonts w:hint="eastAsia" w:ascii="宋体" w:hAnsi="宋体"/>
          <w:sz w:val="22"/>
        </w:rPr>
        <w:t>2、采取会议等多种形式向员工进行消防安全教育，增强员工的消防安全知识和意识，提高防范火灾事故的能力；消防安全责任人、消防安全管理人员和重点特殊岗位人员须经过消防安全专门培训并持证上岗。</w:t>
      </w:r>
    </w:p>
    <w:p>
      <w:pPr>
        <w:spacing w:line="276" w:lineRule="auto"/>
        <w:ind w:firstLine="440" w:firstLineChars="200"/>
        <w:rPr>
          <w:rFonts w:ascii="宋体" w:hAnsi="宋体"/>
          <w:sz w:val="22"/>
        </w:rPr>
      </w:pPr>
      <w:r>
        <w:rPr>
          <w:rFonts w:hint="eastAsia" w:ascii="宋体" w:hAnsi="宋体"/>
          <w:sz w:val="22"/>
        </w:rPr>
        <w:t>3、建立消防安全检查制度。</w:t>
      </w:r>
    </w:p>
    <w:p>
      <w:pPr>
        <w:spacing w:line="276" w:lineRule="auto"/>
        <w:ind w:firstLine="440" w:firstLineChars="200"/>
        <w:rPr>
          <w:rFonts w:ascii="宋体" w:hAnsi="宋体"/>
          <w:sz w:val="22"/>
        </w:rPr>
      </w:pPr>
      <w:r>
        <w:rPr>
          <w:rFonts w:hint="eastAsia" w:ascii="宋体" w:hAnsi="宋体"/>
          <w:sz w:val="22"/>
        </w:rPr>
        <w:t>4、严格落实禁烟、动火、用电规定，消防安全员、值班巡查人员和岗位人员要及时制止违章行为，能及时发现和处理各种险情，并做到“三知”（知防火知识、知灭火知识、知火警电话）和“四会”（会宣传消防知识和报火警；会使用灭火器材；会发现和消除火灾隐患；会扑救初起火灾）。</w:t>
      </w:r>
    </w:p>
    <w:p>
      <w:pPr>
        <w:spacing w:line="276" w:lineRule="auto"/>
        <w:ind w:firstLine="440" w:firstLineChars="200"/>
        <w:rPr>
          <w:rFonts w:ascii="宋体" w:hAnsi="宋体"/>
          <w:sz w:val="22"/>
        </w:rPr>
      </w:pPr>
      <w:r>
        <w:rPr>
          <w:rFonts w:hint="eastAsia" w:ascii="宋体" w:hAnsi="宋体"/>
          <w:sz w:val="22"/>
        </w:rPr>
        <w:t>5、对在责任区域内由本单位负责管理的消防设施、器材、标志，要登记造册，指定专人负责，定期检查维护，做到布局合理，不挪用、不损坏、不丢失、不影响使用、不占用防火间距和阻塞消防通道。</w:t>
      </w:r>
    </w:p>
    <w:p>
      <w:pPr>
        <w:spacing w:line="276" w:lineRule="auto"/>
        <w:ind w:firstLine="440" w:firstLineChars="200"/>
        <w:rPr>
          <w:rFonts w:ascii="宋体" w:hAnsi="宋体"/>
          <w:sz w:val="22"/>
        </w:rPr>
      </w:pPr>
      <w:r>
        <w:rPr>
          <w:rFonts w:hint="eastAsia" w:ascii="宋体" w:hAnsi="宋体"/>
          <w:sz w:val="22"/>
        </w:rPr>
        <w:t>三、安全责任</w:t>
      </w:r>
    </w:p>
    <w:p>
      <w:pPr>
        <w:spacing w:line="276" w:lineRule="auto"/>
        <w:ind w:firstLine="440" w:firstLineChars="200"/>
        <w:rPr>
          <w:rFonts w:ascii="宋体" w:hAnsi="宋体"/>
          <w:sz w:val="22"/>
        </w:rPr>
      </w:pPr>
      <w:r>
        <w:rPr>
          <w:rFonts w:hint="eastAsia" w:ascii="宋体" w:hAnsi="宋体"/>
          <w:sz w:val="22"/>
        </w:rPr>
        <w:t>1、经检查，凡存在消防安全隐患的单位，将给予通报或批评。</w:t>
      </w:r>
    </w:p>
    <w:p>
      <w:pPr>
        <w:spacing w:line="276" w:lineRule="auto"/>
        <w:ind w:firstLine="440" w:firstLineChars="200"/>
        <w:rPr>
          <w:rFonts w:ascii="宋体" w:hAnsi="宋体"/>
          <w:sz w:val="22"/>
        </w:rPr>
      </w:pPr>
      <w:r>
        <w:rPr>
          <w:rFonts w:hint="eastAsia" w:ascii="宋体" w:hAnsi="宋体"/>
          <w:sz w:val="22"/>
        </w:rPr>
        <w:t>2、凡发生火灾事故的单位，将依照国家消防法律法规和机场公司的安全管理规定处理。</w:t>
      </w:r>
    </w:p>
    <w:p>
      <w:pPr>
        <w:spacing w:line="276" w:lineRule="auto"/>
        <w:ind w:firstLine="440" w:firstLineChars="200"/>
        <w:rPr>
          <w:rFonts w:ascii="宋体" w:hAnsi="宋体"/>
          <w:sz w:val="22"/>
        </w:rPr>
      </w:pPr>
      <w:r>
        <w:rPr>
          <w:rFonts w:hint="eastAsia" w:ascii="宋体" w:hAnsi="宋体"/>
          <w:sz w:val="22"/>
        </w:rPr>
        <w:t>四、附则</w:t>
      </w:r>
    </w:p>
    <w:p>
      <w:pPr>
        <w:spacing w:line="276" w:lineRule="auto"/>
        <w:ind w:firstLine="440" w:firstLineChars="200"/>
        <w:rPr>
          <w:rFonts w:ascii="宋体" w:hAnsi="宋体"/>
          <w:sz w:val="22"/>
        </w:rPr>
      </w:pPr>
      <w:r>
        <w:rPr>
          <w:rFonts w:hint="eastAsia" w:ascii="宋体" w:hAnsi="宋体"/>
          <w:sz w:val="22"/>
        </w:rPr>
        <w:t>1、本责任书期限为     年   月   日起至    年   月   日止。</w:t>
      </w:r>
    </w:p>
    <w:p>
      <w:pPr>
        <w:spacing w:line="276" w:lineRule="auto"/>
        <w:ind w:firstLine="440" w:firstLineChars="200"/>
        <w:rPr>
          <w:rFonts w:ascii="宋体" w:hAnsi="宋体"/>
          <w:sz w:val="22"/>
        </w:rPr>
      </w:pPr>
      <w:r>
        <w:rPr>
          <w:rFonts w:hint="eastAsia" w:ascii="宋体" w:hAnsi="宋体"/>
          <w:sz w:val="22"/>
        </w:rPr>
        <w:t>2、本责任书一式六份。甲方执四份；乙方执二份。</w:t>
      </w:r>
    </w:p>
    <w:p>
      <w:pPr>
        <w:spacing w:line="276" w:lineRule="auto"/>
        <w:ind w:firstLine="440" w:firstLineChars="200"/>
        <w:rPr>
          <w:rFonts w:ascii="宋体" w:hAnsi="宋体"/>
          <w:sz w:val="22"/>
        </w:rPr>
      </w:pPr>
    </w:p>
    <w:p>
      <w:pPr>
        <w:spacing w:line="276" w:lineRule="auto"/>
        <w:ind w:firstLine="440" w:firstLineChars="200"/>
        <w:rPr>
          <w:rFonts w:ascii="宋体" w:hAnsi="宋体"/>
          <w:sz w:val="22"/>
        </w:rPr>
      </w:pPr>
      <w:r>
        <w:rPr>
          <w:rFonts w:hint="eastAsia" w:ascii="宋体" w:hAnsi="宋体"/>
          <w:sz w:val="22"/>
        </w:rPr>
        <w:t>甲方（章）：                             乙方（章）：</w:t>
      </w:r>
    </w:p>
    <w:p>
      <w:pPr>
        <w:spacing w:line="276" w:lineRule="auto"/>
        <w:ind w:firstLine="440" w:firstLineChars="200"/>
        <w:rPr>
          <w:rFonts w:ascii="宋体" w:hAnsi="宋体"/>
          <w:sz w:val="22"/>
        </w:rPr>
      </w:pPr>
      <w:r>
        <w:rPr>
          <w:rFonts w:hint="eastAsia" w:ascii="宋体" w:hAnsi="宋体"/>
          <w:sz w:val="22"/>
        </w:rPr>
        <w:t>责任人：                                 责任人：</w:t>
      </w:r>
    </w:p>
    <w:p>
      <w:pPr>
        <w:spacing w:line="276" w:lineRule="auto"/>
        <w:ind w:firstLine="440" w:firstLineChars="200"/>
        <w:rPr>
          <w:rFonts w:ascii="宋体" w:hAnsi="宋体"/>
          <w:sz w:val="22"/>
        </w:rPr>
      </w:pPr>
      <w:r>
        <w:rPr>
          <w:rFonts w:hint="eastAsia" w:ascii="宋体" w:hAnsi="宋体"/>
          <w:sz w:val="22"/>
        </w:rPr>
        <w:t xml:space="preserve">                                      年   月     日</w:t>
      </w:r>
    </w:p>
    <w:p>
      <w:pPr>
        <w:rPr>
          <w:rFonts w:ascii="宋体" w:hAnsi="宋体"/>
          <w:b/>
          <w:sz w:val="22"/>
        </w:rPr>
      </w:pPr>
    </w:p>
    <w:p>
      <w:pPr>
        <w:rPr>
          <w:rFonts w:ascii="宋体" w:hAnsi="宋体"/>
          <w:b/>
          <w:sz w:val="22"/>
        </w:rPr>
      </w:pPr>
      <w:r>
        <w:rPr>
          <w:rFonts w:ascii="宋体" w:hAnsi="宋体"/>
          <w:b/>
          <w:sz w:val="22"/>
        </w:rPr>
        <w:br w:type="page"/>
      </w:r>
    </w:p>
    <w:p>
      <w:pPr>
        <w:rPr>
          <w:rFonts w:ascii="宋体" w:hAnsi="宋体"/>
          <w:b/>
          <w:sz w:val="22"/>
        </w:rPr>
      </w:pPr>
      <w:r>
        <w:rPr>
          <w:rFonts w:hint="eastAsia" w:ascii="宋体" w:hAnsi="宋体"/>
          <w:b/>
          <w:sz w:val="22"/>
        </w:rPr>
        <w:t xml:space="preserve">附件5：维保服务的工作内容及方案 </w:t>
      </w:r>
    </w:p>
    <w:p>
      <w:pPr>
        <w:snapToGrid w:val="0"/>
        <w:spacing w:line="276" w:lineRule="auto"/>
        <w:ind w:firstLine="440" w:firstLineChars="200"/>
        <w:rPr>
          <w:rFonts w:ascii="宋体" w:hAnsi="宋体"/>
          <w:sz w:val="22"/>
        </w:rPr>
      </w:pPr>
    </w:p>
    <w:p>
      <w:pPr>
        <w:snapToGrid w:val="0"/>
        <w:spacing w:line="276" w:lineRule="auto"/>
        <w:ind w:firstLine="440" w:firstLineChars="200"/>
        <w:rPr>
          <w:rFonts w:ascii="宋体" w:hAnsi="宋体"/>
          <w:sz w:val="22"/>
        </w:rPr>
      </w:pPr>
      <w:r>
        <w:rPr>
          <w:rFonts w:hint="eastAsia" w:ascii="宋体" w:hAnsi="宋体"/>
          <w:sz w:val="22"/>
        </w:rPr>
        <w:t>服务要求至少应包括（不仅限于）下述内容：</w:t>
      </w:r>
    </w:p>
    <w:p>
      <w:pPr>
        <w:snapToGrid w:val="0"/>
        <w:spacing w:line="276" w:lineRule="auto"/>
        <w:ind w:firstLine="440" w:firstLineChars="200"/>
        <w:rPr>
          <w:rFonts w:ascii="宋体" w:hAnsi="宋体"/>
          <w:sz w:val="22"/>
        </w:rPr>
      </w:pPr>
      <w:r>
        <w:rPr>
          <w:rFonts w:hint="eastAsia" w:ascii="宋体" w:hAnsi="宋体"/>
          <w:sz w:val="22"/>
        </w:rPr>
        <w:t>1）建立客户档案，编制设备维护计划。</w:t>
      </w:r>
    </w:p>
    <w:p>
      <w:pPr>
        <w:snapToGrid w:val="0"/>
        <w:spacing w:line="276" w:lineRule="auto"/>
        <w:ind w:firstLine="440" w:firstLineChars="200"/>
        <w:rPr>
          <w:rFonts w:ascii="宋体" w:hAnsi="宋体"/>
          <w:sz w:val="22"/>
        </w:rPr>
      </w:pPr>
      <w:r>
        <w:rPr>
          <w:rFonts w:hint="eastAsia" w:ascii="宋体" w:hAnsi="宋体"/>
          <w:sz w:val="22"/>
        </w:rPr>
        <w:t xml:space="preserve">2）提供7*24小时故障报修热线电话，若设备发生故障，甲方可以随时拨打热线电话进行故障报修。 </w:t>
      </w:r>
    </w:p>
    <w:p>
      <w:pPr>
        <w:snapToGrid w:val="0"/>
        <w:spacing w:line="276" w:lineRule="auto"/>
        <w:ind w:firstLine="440" w:firstLineChars="200"/>
        <w:rPr>
          <w:rFonts w:ascii="宋体" w:hAnsi="宋体"/>
          <w:sz w:val="22"/>
        </w:rPr>
      </w:pPr>
      <w:r>
        <w:rPr>
          <w:rFonts w:hint="eastAsia" w:ascii="宋体" w:hAnsi="宋体"/>
          <w:sz w:val="22"/>
        </w:rPr>
        <w:t>3）提供7*24小时电话技术支持服务，可以在服务时段有关系统操作、故障诊断方面的问题。</w:t>
      </w:r>
    </w:p>
    <w:p>
      <w:pPr>
        <w:snapToGrid w:val="0"/>
        <w:spacing w:line="276" w:lineRule="auto"/>
        <w:ind w:firstLine="440" w:firstLineChars="200"/>
        <w:rPr>
          <w:rFonts w:ascii="宋体" w:hAnsi="宋体"/>
          <w:sz w:val="22"/>
        </w:rPr>
      </w:pPr>
      <w:r>
        <w:rPr>
          <w:rFonts w:hint="eastAsia" w:ascii="宋体" w:hAnsi="宋体"/>
          <w:sz w:val="22"/>
        </w:rPr>
        <w:t>4）乙方在获得甲方的许可后，对磁盘阵列实施远程处理故障或维修设备，若发现异常情况，必须通报甲方，同时安排人员进行现场维修。</w:t>
      </w:r>
    </w:p>
    <w:p>
      <w:pPr>
        <w:snapToGrid w:val="0"/>
        <w:spacing w:line="276" w:lineRule="auto"/>
        <w:ind w:firstLine="440" w:firstLineChars="200"/>
        <w:rPr>
          <w:rFonts w:ascii="宋体" w:hAnsi="宋体"/>
          <w:sz w:val="22"/>
        </w:rPr>
      </w:pPr>
      <w:r>
        <w:rPr>
          <w:rFonts w:hint="eastAsia" w:ascii="宋体" w:hAnsi="宋体"/>
          <w:sz w:val="22"/>
        </w:rPr>
        <w:t>5）乙方每半年至少对磁盘阵列进行一次现场维护，包括检查设备软、硬件的运行情况，查看系统日志，协助备份存储设备的配置信息，必要时进行预防性维修，并提交维护报告。如无特殊原因，定期维护时间定为每半年第一个月5号前之前，如遇公共假日，则顺延。投标人应组成两人以上具有丰富的设备维护经验的原厂技术团队负责日常维护，并指定其中一名工程师作为技术联系人，非甲方同意，不允许擅自更换人选。</w:t>
      </w:r>
    </w:p>
    <w:p>
      <w:pPr>
        <w:snapToGrid w:val="0"/>
        <w:spacing w:line="276" w:lineRule="auto"/>
        <w:ind w:firstLine="440" w:firstLineChars="200"/>
        <w:rPr>
          <w:rFonts w:ascii="宋体" w:hAnsi="宋体"/>
          <w:sz w:val="22"/>
        </w:rPr>
      </w:pPr>
      <w:r>
        <w:rPr>
          <w:rFonts w:hint="eastAsia" w:ascii="宋体" w:hAnsi="宋体"/>
          <w:sz w:val="22"/>
        </w:rPr>
        <w:t>6）设备发生故障时，乙方必须在接到报修电话后15分钟内响应，可实施远程排查故障；若远程无法解决，必须在报修后尽快到达现场处理故障，直至故障修复。对于设备较为重大的故障（如不能访问存储数据、无法存储等），投标人必须在接到报修电话第一时间到达现场处理故障，直至故障修复。在维修过程中使用的备件，必须全部为原厂备件。</w:t>
      </w:r>
    </w:p>
    <w:p>
      <w:pPr>
        <w:snapToGrid w:val="0"/>
        <w:spacing w:line="276" w:lineRule="auto"/>
        <w:ind w:firstLine="440" w:firstLineChars="200"/>
        <w:rPr>
          <w:rFonts w:ascii="宋体" w:hAnsi="宋体"/>
          <w:sz w:val="22"/>
        </w:rPr>
      </w:pPr>
      <w:r>
        <w:rPr>
          <w:rFonts w:hint="eastAsia" w:ascii="宋体" w:hAnsi="宋体"/>
          <w:sz w:val="22"/>
        </w:rPr>
        <w:t>7）每次设备故障恢复后，乙方必须在三天内查明故障原因，并以书面形式报告甲方，提出相应整改方案，整改方案中应包括实施完成时限，交由甲方审核通过后实施。</w:t>
      </w:r>
    </w:p>
    <w:p>
      <w:pPr>
        <w:snapToGrid w:val="0"/>
        <w:spacing w:line="276" w:lineRule="auto"/>
        <w:ind w:firstLine="440" w:firstLineChars="200"/>
        <w:rPr>
          <w:rFonts w:ascii="宋体" w:hAnsi="宋体"/>
          <w:sz w:val="22"/>
        </w:rPr>
      </w:pPr>
      <w:r>
        <w:rPr>
          <w:rFonts w:hint="eastAsia" w:ascii="宋体" w:hAnsi="宋体"/>
          <w:sz w:val="22"/>
        </w:rPr>
        <w:t>8）乙方定期提供存储设备的微码及相应驱动软件版本的建议报告，由甲方确认是否需要升级，及安排升级的计划。投标人提供微码及相应驱动软件的升级服务。</w:t>
      </w:r>
    </w:p>
    <w:p>
      <w:pPr>
        <w:snapToGrid w:val="0"/>
        <w:spacing w:line="276" w:lineRule="auto"/>
        <w:ind w:firstLine="440" w:firstLineChars="200"/>
        <w:rPr>
          <w:rFonts w:ascii="宋体" w:hAnsi="宋体"/>
          <w:sz w:val="22"/>
        </w:rPr>
      </w:pPr>
      <w:r>
        <w:rPr>
          <w:rFonts w:hint="eastAsia" w:ascii="宋体" w:hAnsi="宋体"/>
          <w:sz w:val="22"/>
        </w:rPr>
        <w:t>9）乙方将根据甲方的需求，提供存储设备的配置变更服务。包括光纤连接变更、LUN配置变更以及主机系统的连接配置变更。</w:t>
      </w:r>
    </w:p>
    <w:p>
      <w:pPr>
        <w:snapToGrid w:val="0"/>
        <w:spacing w:line="276" w:lineRule="auto"/>
        <w:ind w:firstLine="440" w:firstLineChars="200"/>
        <w:rPr>
          <w:rFonts w:ascii="宋体" w:hAnsi="宋体"/>
          <w:sz w:val="22"/>
        </w:rPr>
      </w:pPr>
      <w:r>
        <w:rPr>
          <w:rFonts w:hint="eastAsia" w:ascii="宋体" w:hAnsi="宋体"/>
          <w:sz w:val="22"/>
        </w:rPr>
        <w:t>10）乙方在维保期内做任何设备软件升级、优化、变动之前，必须提前向甲方提交书面申请，并在实施完成后一周内完成书面报告，交由甲方备案。</w:t>
      </w:r>
    </w:p>
    <w:p>
      <w:pPr>
        <w:snapToGrid w:val="0"/>
        <w:spacing w:line="276" w:lineRule="auto"/>
        <w:ind w:firstLine="440" w:firstLineChars="200"/>
        <w:rPr>
          <w:rFonts w:ascii="宋体" w:hAnsi="宋体"/>
          <w:sz w:val="22"/>
        </w:rPr>
      </w:pPr>
      <w:r>
        <w:rPr>
          <w:rFonts w:hint="eastAsia" w:ascii="宋体" w:hAnsi="宋体"/>
          <w:sz w:val="22"/>
        </w:rPr>
        <w:t>11）乙方根据甲方的需求、如遇特殊情况，需安排高级技术支持人员到现场值班，驻场双方友好协商。</w:t>
      </w:r>
    </w:p>
    <w:p>
      <w:pPr>
        <w:snapToGrid w:val="0"/>
        <w:spacing w:line="276" w:lineRule="auto"/>
        <w:ind w:firstLine="440" w:firstLineChars="200"/>
        <w:rPr>
          <w:rFonts w:ascii="宋体" w:hAnsi="宋体"/>
          <w:sz w:val="22"/>
        </w:rPr>
      </w:pPr>
      <w:r>
        <w:rPr>
          <w:rFonts w:hint="eastAsia" w:ascii="宋体" w:hAnsi="宋体"/>
          <w:sz w:val="22"/>
        </w:rPr>
        <w:t>12）乙方应对用户单位的信息具有保密义务，如果因投标人过失引起的泄密，将依法追究民事、刑事责任。</w:t>
      </w:r>
    </w:p>
    <w:p>
      <w:pPr>
        <w:snapToGrid w:val="0"/>
        <w:spacing w:line="276" w:lineRule="auto"/>
        <w:ind w:firstLine="440" w:firstLineChars="200"/>
        <w:rPr>
          <w:rFonts w:ascii="宋体" w:hAnsi="宋体"/>
          <w:sz w:val="22"/>
        </w:rPr>
      </w:pPr>
      <w:r>
        <w:rPr>
          <w:rFonts w:hint="eastAsia" w:ascii="宋体" w:hAnsi="宋体"/>
          <w:sz w:val="22"/>
        </w:rPr>
        <w:t>13）乙方因维护维修不及时或人为操作不当等原因造成视频资料丢失，导致机场公安局、安检护卫部、运行管理部及其他监控用户部门投诉、旅客投诉等影响，按照合同附件《维保考核办法》扣除相应款项。</w:t>
      </w:r>
    </w:p>
    <w:p>
      <w:pPr>
        <w:widowControl/>
        <w:jc w:val="left"/>
        <w:rPr>
          <w:rFonts w:ascii="宋体" w:hAnsi="宋体"/>
          <w:sz w:val="22"/>
        </w:rPr>
      </w:pPr>
      <w:r>
        <w:rPr>
          <w:rFonts w:ascii="宋体" w:hAnsi="宋体"/>
          <w:sz w:val="22"/>
        </w:rPr>
        <w:br w:type="page"/>
      </w:r>
    </w:p>
    <w:p>
      <w:pPr>
        <w:snapToGrid w:val="0"/>
        <w:spacing w:line="276" w:lineRule="auto"/>
        <w:ind w:firstLine="440" w:firstLineChars="200"/>
        <w:rPr>
          <w:rFonts w:ascii="宋体" w:hAnsi="宋体"/>
          <w:sz w:val="22"/>
        </w:rPr>
      </w:pPr>
    </w:p>
    <w:p>
      <w:pPr>
        <w:rPr>
          <w:rFonts w:ascii="宋体" w:hAnsi="宋体"/>
          <w:b/>
          <w:sz w:val="22"/>
        </w:rPr>
      </w:pPr>
      <w:r>
        <w:rPr>
          <w:rFonts w:hint="eastAsia" w:ascii="宋体" w:hAnsi="宋体"/>
          <w:b/>
          <w:sz w:val="22"/>
        </w:rPr>
        <w:t>附件</w:t>
      </w:r>
      <w:r>
        <w:rPr>
          <w:rFonts w:ascii="宋体" w:hAnsi="宋体"/>
          <w:b/>
          <w:sz w:val="22"/>
        </w:rPr>
        <w:t>6</w:t>
      </w:r>
      <w:r>
        <w:rPr>
          <w:rFonts w:hint="eastAsia" w:ascii="宋体" w:hAnsi="宋体"/>
          <w:b/>
          <w:sz w:val="22"/>
        </w:rPr>
        <w:t>：维保服务考核标准细则</w:t>
      </w:r>
    </w:p>
    <w:p>
      <w:pPr>
        <w:pStyle w:val="124"/>
        <w:ind w:firstLine="720"/>
        <w:jc w:val="center"/>
        <w:rPr>
          <w:rFonts w:ascii="宋体" w:eastAsia="宋体"/>
          <w:sz w:val="36"/>
          <w:szCs w:val="21"/>
        </w:rPr>
      </w:pPr>
      <w:r>
        <w:rPr>
          <w:rFonts w:hint="eastAsia" w:ascii="宋体" w:eastAsia="宋体"/>
          <w:sz w:val="36"/>
          <w:szCs w:val="21"/>
        </w:rPr>
        <w:t>考核办法</w:t>
      </w:r>
    </w:p>
    <w:p>
      <w:pPr>
        <w:pStyle w:val="124"/>
        <w:ind w:firstLine="420"/>
        <w:jc w:val="center"/>
        <w:rPr>
          <w:rFonts w:ascii="方正小标宋简体" w:eastAsia="方正小标宋简体"/>
          <w:sz w:val="21"/>
          <w:szCs w:val="21"/>
        </w:rPr>
      </w:pPr>
    </w:p>
    <w:tbl>
      <w:tblPr>
        <w:tblStyle w:val="53"/>
        <w:tblpPr w:leftFromText="180" w:rightFromText="180" w:vertAnchor="text" w:horzAnchor="margin" w:tblpY="199"/>
        <w:tblW w:w="9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575"/>
        <w:gridCol w:w="2465"/>
        <w:gridCol w:w="720"/>
        <w:gridCol w:w="23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40" w:type="dxa"/>
            <w:vAlign w:val="center"/>
          </w:tcPr>
          <w:p>
            <w:pPr>
              <w:keepNext/>
              <w:keepLines/>
              <w:widowControl/>
              <w:jc w:val="center"/>
              <w:rPr>
                <w:rFonts w:ascii="宋体" w:hAnsi="宋体" w:cs="宋体"/>
                <w:b/>
                <w:kern w:val="0"/>
                <w:szCs w:val="21"/>
              </w:rPr>
            </w:pPr>
            <w:r>
              <w:rPr>
                <w:rFonts w:hint="eastAsia" w:ascii="宋体" w:hAnsi="宋体" w:cs="宋体"/>
                <w:b/>
                <w:kern w:val="0"/>
                <w:szCs w:val="21"/>
              </w:rPr>
              <w:t>序号</w:t>
            </w:r>
          </w:p>
        </w:tc>
        <w:tc>
          <w:tcPr>
            <w:tcW w:w="2575" w:type="dxa"/>
            <w:vAlign w:val="center"/>
          </w:tcPr>
          <w:p>
            <w:pPr>
              <w:keepNext/>
              <w:keepLines/>
              <w:widowControl/>
              <w:jc w:val="center"/>
              <w:rPr>
                <w:rFonts w:ascii="宋体" w:hAnsi="宋体" w:cs="宋体"/>
                <w:b/>
                <w:kern w:val="0"/>
                <w:szCs w:val="21"/>
              </w:rPr>
            </w:pPr>
            <w:r>
              <w:rPr>
                <w:rFonts w:hint="eastAsia" w:ascii="宋体" w:hAnsi="宋体" w:cs="宋体"/>
                <w:b/>
                <w:kern w:val="0"/>
                <w:szCs w:val="21"/>
              </w:rPr>
              <w:t>KPI指标</w:t>
            </w:r>
          </w:p>
        </w:tc>
        <w:tc>
          <w:tcPr>
            <w:tcW w:w="2465" w:type="dxa"/>
            <w:vAlign w:val="center"/>
          </w:tcPr>
          <w:p>
            <w:pPr>
              <w:keepNext/>
              <w:keepLines/>
              <w:widowControl/>
              <w:jc w:val="center"/>
              <w:rPr>
                <w:rFonts w:ascii="宋体" w:hAnsi="宋体" w:cs="宋体"/>
                <w:b/>
                <w:kern w:val="0"/>
                <w:szCs w:val="21"/>
              </w:rPr>
            </w:pPr>
            <w:r>
              <w:rPr>
                <w:rFonts w:hint="eastAsia" w:ascii="宋体" w:hAnsi="宋体" w:cs="宋体"/>
                <w:b/>
                <w:kern w:val="0"/>
                <w:szCs w:val="21"/>
              </w:rPr>
              <w:t>目标值</w:t>
            </w:r>
          </w:p>
        </w:tc>
        <w:tc>
          <w:tcPr>
            <w:tcW w:w="720" w:type="dxa"/>
            <w:vAlign w:val="center"/>
          </w:tcPr>
          <w:p>
            <w:pPr>
              <w:keepNext/>
              <w:keepLines/>
              <w:widowControl/>
              <w:jc w:val="center"/>
              <w:rPr>
                <w:rFonts w:ascii="宋体" w:hAnsi="宋体" w:cs="宋体"/>
                <w:b/>
                <w:kern w:val="0"/>
                <w:szCs w:val="21"/>
              </w:rPr>
            </w:pPr>
            <w:r>
              <w:rPr>
                <w:rFonts w:hint="eastAsia" w:ascii="宋体" w:hAnsi="宋体" w:cs="宋体"/>
                <w:b/>
                <w:kern w:val="0"/>
                <w:szCs w:val="21"/>
              </w:rPr>
              <w:t>分值</w:t>
            </w:r>
          </w:p>
        </w:tc>
        <w:tc>
          <w:tcPr>
            <w:tcW w:w="2340" w:type="dxa"/>
            <w:vAlign w:val="center"/>
          </w:tcPr>
          <w:p>
            <w:pPr>
              <w:keepNext/>
              <w:keepLines/>
              <w:widowControl/>
              <w:jc w:val="center"/>
              <w:rPr>
                <w:rFonts w:ascii="宋体" w:hAnsi="宋体" w:cs="宋体"/>
                <w:b/>
                <w:kern w:val="0"/>
                <w:szCs w:val="21"/>
              </w:rPr>
            </w:pPr>
            <w:r>
              <w:rPr>
                <w:rFonts w:hint="eastAsia" w:ascii="宋体" w:hAnsi="宋体" w:cs="宋体"/>
                <w:b/>
                <w:kern w:val="0"/>
                <w:szCs w:val="21"/>
              </w:rPr>
              <w:t>扣分办法</w:t>
            </w:r>
          </w:p>
        </w:tc>
        <w:tc>
          <w:tcPr>
            <w:tcW w:w="1080" w:type="dxa"/>
            <w:vAlign w:val="center"/>
          </w:tcPr>
          <w:p>
            <w:pPr>
              <w:keepNext/>
              <w:keepLines/>
              <w:widowControl/>
              <w:jc w:val="center"/>
              <w:rPr>
                <w:rFonts w:ascii="宋体" w:hAnsi="宋体" w:cs="宋体"/>
                <w:b/>
                <w:kern w:val="0"/>
                <w:szCs w:val="21"/>
              </w:rPr>
            </w:pPr>
            <w:r>
              <w:rPr>
                <w:rFonts w:hint="eastAsia" w:ascii="宋体" w:hAnsi="宋体" w:cs="宋体"/>
                <w:b/>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40" w:type="dxa"/>
            <w:vMerge w:val="restart"/>
            <w:vAlign w:val="center"/>
          </w:tcPr>
          <w:p>
            <w:pPr>
              <w:keepNext/>
              <w:keepLines/>
              <w:widowControl/>
              <w:jc w:val="center"/>
              <w:rPr>
                <w:rFonts w:ascii="宋体" w:hAnsi="宋体" w:cs="宋体"/>
                <w:kern w:val="0"/>
                <w:szCs w:val="21"/>
              </w:rPr>
            </w:pPr>
            <w:r>
              <w:rPr>
                <w:rFonts w:hint="eastAsia" w:ascii="宋体" w:hAnsi="宋体" w:cs="宋体"/>
                <w:kern w:val="0"/>
                <w:szCs w:val="21"/>
              </w:rPr>
              <w:t>1</w:t>
            </w:r>
          </w:p>
        </w:tc>
        <w:tc>
          <w:tcPr>
            <w:tcW w:w="2575" w:type="dxa"/>
            <w:vAlign w:val="center"/>
          </w:tcPr>
          <w:p>
            <w:pPr>
              <w:keepNext/>
              <w:keepLines/>
              <w:widowControl/>
              <w:jc w:val="left"/>
              <w:rPr>
                <w:rFonts w:ascii="宋体" w:hAnsi="宋体" w:cs="宋体"/>
                <w:kern w:val="0"/>
                <w:szCs w:val="21"/>
              </w:rPr>
            </w:pPr>
            <w:r>
              <w:rPr>
                <w:rFonts w:hint="eastAsia" w:ascii="宋体" w:hAnsi="宋体" w:cs="宋体"/>
                <w:kern w:val="0"/>
                <w:szCs w:val="21"/>
              </w:rPr>
              <w:t>因乙方原因导致系统重大故障，影响系统及</w:t>
            </w:r>
            <w:r>
              <w:rPr>
                <w:rFonts w:ascii="宋体" w:hAnsi="宋体" w:cs="宋体"/>
                <w:kern w:val="0"/>
                <w:szCs w:val="21"/>
              </w:rPr>
              <w:t>相关业务的运行</w:t>
            </w:r>
          </w:p>
        </w:tc>
        <w:tc>
          <w:tcPr>
            <w:tcW w:w="2465" w:type="dxa"/>
            <w:vAlign w:val="center"/>
          </w:tcPr>
          <w:p>
            <w:pPr>
              <w:keepNext/>
              <w:keepLines/>
              <w:widowControl/>
              <w:jc w:val="left"/>
              <w:rPr>
                <w:rFonts w:ascii="宋体" w:hAnsi="宋体" w:cs="宋体"/>
                <w:kern w:val="0"/>
                <w:szCs w:val="21"/>
              </w:rPr>
            </w:pPr>
            <w:r>
              <w:rPr>
                <w:rFonts w:hint="eastAsia" w:ascii="宋体" w:hAnsi="宋体" w:cs="宋体"/>
                <w:kern w:val="0"/>
                <w:szCs w:val="21"/>
              </w:rPr>
              <w:t>0次/年</w:t>
            </w:r>
          </w:p>
        </w:tc>
        <w:tc>
          <w:tcPr>
            <w:tcW w:w="720" w:type="dxa"/>
            <w:vAlign w:val="center"/>
          </w:tcPr>
          <w:p>
            <w:pPr>
              <w:keepNext/>
              <w:keepLines/>
              <w:widowControl/>
              <w:jc w:val="center"/>
              <w:rPr>
                <w:rFonts w:ascii="宋体" w:hAnsi="宋体" w:cs="宋体"/>
                <w:kern w:val="0"/>
                <w:szCs w:val="21"/>
              </w:rPr>
            </w:pPr>
            <w:r>
              <w:rPr>
                <w:rFonts w:hint="eastAsia" w:ascii="宋体" w:hAnsi="宋体" w:cs="宋体"/>
                <w:kern w:val="0"/>
                <w:szCs w:val="21"/>
              </w:rPr>
              <w:t>20分</w:t>
            </w:r>
          </w:p>
        </w:tc>
        <w:tc>
          <w:tcPr>
            <w:tcW w:w="2340" w:type="dxa"/>
            <w:vAlign w:val="center"/>
          </w:tcPr>
          <w:p>
            <w:pPr>
              <w:keepNext/>
              <w:keepLines/>
              <w:widowControl/>
              <w:rPr>
                <w:rFonts w:ascii="宋体" w:hAnsi="宋体" w:cs="宋体"/>
                <w:kern w:val="0"/>
                <w:szCs w:val="21"/>
              </w:rPr>
            </w:pPr>
            <w:r>
              <w:rPr>
                <w:rFonts w:hint="eastAsia" w:ascii="宋体" w:hAnsi="宋体" w:cs="宋体"/>
                <w:kern w:val="0"/>
                <w:szCs w:val="21"/>
              </w:rPr>
              <w:t>发生</w:t>
            </w:r>
            <w:r>
              <w:rPr>
                <w:rFonts w:ascii="宋体" w:hAnsi="宋体" w:cs="宋体"/>
                <w:kern w:val="0"/>
                <w:szCs w:val="21"/>
              </w:rPr>
              <w:t>一次</w:t>
            </w:r>
            <w:r>
              <w:rPr>
                <w:rFonts w:hint="eastAsia" w:ascii="宋体" w:hAnsi="宋体" w:cs="宋体"/>
                <w:kern w:val="0"/>
                <w:szCs w:val="21"/>
              </w:rPr>
              <w:t>扣2</w:t>
            </w:r>
            <w:r>
              <w:rPr>
                <w:rFonts w:ascii="宋体" w:hAnsi="宋体" w:cs="宋体"/>
                <w:kern w:val="0"/>
                <w:szCs w:val="21"/>
              </w:rPr>
              <w:t>0分</w:t>
            </w:r>
          </w:p>
        </w:tc>
        <w:tc>
          <w:tcPr>
            <w:tcW w:w="1080" w:type="dxa"/>
            <w:vAlign w:val="center"/>
          </w:tcPr>
          <w:p>
            <w:pPr>
              <w:keepNext/>
              <w:keepLines/>
              <w:widowControl/>
              <w:jc w:val="left"/>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40" w:type="dxa"/>
            <w:vMerge w:val="continue"/>
            <w:vAlign w:val="center"/>
          </w:tcPr>
          <w:p>
            <w:pPr>
              <w:keepNext/>
              <w:keepLines/>
              <w:widowControl/>
              <w:jc w:val="left"/>
              <w:rPr>
                <w:rFonts w:ascii="宋体" w:hAnsi="宋体" w:cs="宋体"/>
                <w:kern w:val="0"/>
                <w:szCs w:val="21"/>
              </w:rPr>
            </w:pPr>
          </w:p>
        </w:tc>
        <w:tc>
          <w:tcPr>
            <w:tcW w:w="2575" w:type="dxa"/>
            <w:vAlign w:val="center"/>
          </w:tcPr>
          <w:p>
            <w:pPr>
              <w:keepNext/>
              <w:keepLines/>
              <w:widowControl/>
              <w:jc w:val="left"/>
              <w:rPr>
                <w:rFonts w:ascii="宋体" w:hAnsi="宋体" w:cs="宋体"/>
                <w:kern w:val="0"/>
                <w:szCs w:val="21"/>
              </w:rPr>
            </w:pPr>
            <w:r>
              <w:rPr>
                <w:rFonts w:hint="eastAsia" w:ascii="宋体" w:hAnsi="宋体" w:cs="宋体"/>
                <w:kern w:val="0"/>
                <w:szCs w:val="21"/>
              </w:rPr>
              <w:t>因维保设备故障导致系统</w:t>
            </w:r>
            <w:r>
              <w:rPr>
                <w:rFonts w:ascii="宋体" w:hAnsi="宋体" w:cs="宋体"/>
                <w:kern w:val="0"/>
                <w:szCs w:val="21"/>
              </w:rPr>
              <w:t>管理部门</w:t>
            </w:r>
            <w:r>
              <w:rPr>
                <w:rFonts w:hint="eastAsia" w:ascii="宋体" w:hAnsi="宋体" w:cs="宋体"/>
                <w:kern w:val="0"/>
                <w:szCs w:val="21"/>
              </w:rPr>
              <w:t>被问责</w:t>
            </w:r>
          </w:p>
        </w:tc>
        <w:tc>
          <w:tcPr>
            <w:tcW w:w="2465" w:type="dxa"/>
            <w:vAlign w:val="center"/>
          </w:tcPr>
          <w:p>
            <w:pPr>
              <w:keepNext/>
              <w:keepLines/>
              <w:widowControl/>
              <w:jc w:val="left"/>
              <w:rPr>
                <w:rFonts w:ascii="宋体" w:hAnsi="宋体" w:cs="宋体"/>
                <w:kern w:val="0"/>
                <w:szCs w:val="21"/>
              </w:rPr>
            </w:pPr>
            <w:r>
              <w:rPr>
                <w:rFonts w:hint="eastAsia" w:ascii="宋体" w:hAnsi="宋体" w:cs="宋体"/>
                <w:kern w:val="0"/>
                <w:szCs w:val="21"/>
              </w:rPr>
              <w:t>0次/年</w:t>
            </w:r>
          </w:p>
        </w:tc>
        <w:tc>
          <w:tcPr>
            <w:tcW w:w="720" w:type="dxa"/>
            <w:vAlign w:val="center"/>
          </w:tcPr>
          <w:p>
            <w:pPr>
              <w:keepNext/>
              <w:keepLines/>
              <w:widowControl/>
              <w:jc w:val="center"/>
              <w:rPr>
                <w:rFonts w:ascii="宋体" w:hAnsi="宋体" w:cs="宋体"/>
                <w:kern w:val="0"/>
                <w:szCs w:val="21"/>
              </w:rPr>
            </w:pPr>
            <w:r>
              <w:rPr>
                <w:rFonts w:hint="eastAsia" w:ascii="宋体" w:hAnsi="宋体" w:cs="宋体"/>
                <w:kern w:val="0"/>
                <w:szCs w:val="21"/>
              </w:rPr>
              <w:t>10分</w:t>
            </w:r>
          </w:p>
        </w:tc>
        <w:tc>
          <w:tcPr>
            <w:tcW w:w="2340" w:type="dxa"/>
            <w:vAlign w:val="center"/>
          </w:tcPr>
          <w:p>
            <w:pPr>
              <w:keepNext/>
              <w:keepLines/>
              <w:widowControl/>
              <w:jc w:val="left"/>
              <w:rPr>
                <w:rFonts w:ascii="宋体" w:hAnsi="宋体" w:cs="宋体"/>
                <w:kern w:val="0"/>
                <w:szCs w:val="21"/>
              </w:rPr>
            </w:pPr>
            <w:r>
              <w:rPr>
                <w:rFonts w:hint="eastAsia" w:ascii="宋体" w:hAnsi="宋体" w:cs="宋体"/>
                <w:kern w:val="0"/>
                <w:szCs w:val="21"/>
              </w:rPr>
              <w:t xml:space="preserve">每发生一次扣5分； </w:t>
            </w:r>
          </w:p>
        </w:tc>
        <w:tc>
          <w:tcPr>
            <w:tcW w:w="1080" w:type="dxa"/>
            <w:vAlign w:val="center"/>
          </w:tcPr>
          <w:p>
            <w:pPr>
              <w:keepNext/>
              <w:keepLines/>
              <w:widowControl/>
              <w:jc w:val="left"/>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40" w:type="dxa"/>
            <w:vMerge w:val="restart"/>
            <w:vAlign w:val="center"/>
          </w:tcPr>
          <w:p>
            <w:pPr>
              <w:keepNext/>
              <w:keepLines/>
              <w:widowControl/>
              <w:jc w:val="center"/>
              <w:rPr>
                <w:rFonts w:ascii="宋体" w:hAnsi="宋体" w:cs="宋体"/>
                <w:kern w:val="0"/>
                <w:szCs w:val="21"/>
              </w:rPr>
            </w:pPr>
            <w:r>
              <w:rPr>
                <w:rFonts w:hint="eastAsia" w:ascii="宋体" w:hAnsi="宋体" w:cs="宋体"/>
                <w:kern w:val="0"/>
                <w:szCs w:val="21"/>
              </w:rPr>
              <w:t>2</w:t>
            </w:r>
          </w:p>
        </w:tc>
        <w:tc>
          <w:tcPr>
            <w:tcW w:w="2575" w:type="dxa"/>
            <w:vMerge w:val="restart"/>
            <w:vAlign w:val="center"/>
          </w:tcPr>
          <w:p>
            <w:pPr>
              <w:keepNext/>
              <w:keepLines/>
              <w:widowControl/>
              <w:jc w:val="left"/>
              <w:rPr>
                <w:rFonts w:ascii="宋体" w:hAnsi="宋体" w:cs="宋体"/>
                <w:kern w:val="0"/>
                <w:szCs w:val="21"/>
              </w:rPr>
            </w:pPr>
            <w:r>
              <w:rPr>
                <w:rFonts w:hint="eastAsia" w:ascii="宋体" w:hAnsi="宋体" w:cs="宋体"/>
                <w:kern w:val="0"/>
                <w:szCs w:val="21"/>
              </w:rPr>
              <w:t>资料的准确率及动态变更及时率</w:t>
            </w:r>
          </w:p>
        </w:tc>
        <w:tc>
          <w:tcPr>
            <w:tcW w:w="2465" w:type="dxa"/>
            <w:vAlign w:val="center"/>
          </w:tcPr>
          <w:p>
            <w:pPr>
              <w:keepNext/>
              <w:keepLines/>
              <w:widowControl/>
              <w:jc w:val="left"/>
              <w:rPr>
                <w:rFonts w:ascii="宋体" w:hAnsi="宋体" w:cs="宋体"/>
                <w:kern w:val="0"/>
                <w:szCs w:val="21"/>
              </w:rPr>
            </w:pPr>
            <w:r>
              <w:rPr>
                <w:rFonts w:hint="eastAsia" w:ascii="宋体" w:hAnsi="宋体" w:cs="宋体"/>
                <w:kern w:val="0"/>
                <w:szCs w:val="21"/>
              </w:rPr>
              <w:t>≥95%</w:t>
            </w:r>
          </w:p>
        </w:tc>
        <w:tc>
          <w:tcPr>
            <w:tcW w:w="720" w:type="dxa"/>
            <w:vMerge w:val="restart"/>
            <w:vAlign w:val="center"/>
          </w:tcPr>
          <w:p>
            <w:pPr>
              <w:keepNext/>
              <w:keepLines/>
              <w:widowControl/>
              <w:jc w:val="center"/>
              <w:rPr>
                <w:rFonts w:ascii="宋体" w:hAnsi="宋体" w:cs="宋体"/>
                <w:kern w:val="0"/>
                <w:szCs w:val="21"/>
              </w:rPr>
            </w:pPr>
            <w:r>
              <w:rPr>
                <w:rFonts w:hint="eastAsia" w:ascii="宋体" w:hAnsi="宋体" w:cs="宋体"/>
                <w:kern w:val="0"/>
                <w:szCs w:val="21"/>
              </w:rPr>
              <w:t>20分</w:t>
            </w:r>
          </w:p>
        </w:tc>
        <w:tc>
          <w:tcPr>
            <w:tcW w:w="2340" w:type="dxa"/>
            <w:vMerge w:val="restart"/>
            <w:vAlign w:val="center"/>
          </w:tcPr>
          <w:p>
            <w:pPr>
              <w:keepNext/>
              <w:keepLines/>
              <w:widowControl/>
              <w:jc w:val="left"/>
              <w:rPr>
                <w:rFonts w:ascii="宋体" w:hAnsi="宋体" w:cs="宋体"/>
                <w:kern w:val="0"/>
                <w:szCs w:val="21"/>
              </w:rPr>
            </w:pPr>
            <w:r>
              <w:rPr>
                <w:rFonts w:hint="eastAsia" w:ascii="宋体" w:hAnsi="宋体" w:cs="宋体"/>
                <w:kern w:val="0"/>
                <w:szCs w:val="21"/>
              </w:rPr>
              <w:t>资料未及时变更或未及时反馈,每次扣5分</w:t>
            </w:r>
          </w:p>
        </w:tc>
        <w:tc>
          <w:tcPr>
            <w:tcW w:w="1080" w:type="dxa"/>
            <w:vMerge w:val="restart"/>
            <w:vAlign w:val="center"/>
          </w:tcPr>
          <w:p>
            <w:pPr>
              <w:keepNext/>
              <w:keepLines/>
              <w:widowControl/>
              <w:jc w:val="left"/>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40" w:type="dxa"/>
            <w:vMerge w:val="continue"/>
            <w:vAlign w:val="center"/>
          </w:tcPr>
          <w:p>
            <w:pPr>
              <w:keepNext/>
              <w:keepLines/>
              <w:widowControl/>
              <w:jc w:val="left"/>
              <w:rPr>
                <w:rFonts w:ascii="宋体" w:hAnsi="宋体" w:cs="宋体"/>
                <w:kern w:val="0"/>
                <w:szCs w:val="21"/>
              </w:rPr>
            </w:pPr>
          </w:p>
        </w:tc>
        <w:tc>
          <w:tcPr>
            <w:tcW w:w="2575" w:type="dxa"/>
            <w:vMerge w:val="continue"/>
            <w:vAlign w:val="center"/>
          </w:tcPr>
          <w:p>
            <w:pPr>
              <w:keepNext/>
              <w:keepLines/>
              <w:widowControl/>
              <w:jc w:val="left"/>
              <w:rPr>
                <w:rFonts w:ascii="宋体" w:hAnsi="宋体" w:cs="宋体"/>
                <w:kern w:val="0"/>
                <w:szCs w:val="21"/>
              </w:rPr>
            </w:pPr>
          </w:p>
        </w:tc>
        <w:tc>
          <w:tcPr>
            <w:tcW w:w="2465" w:type="dxa"/>
            <w:vAlign w:val="center"/>
          </w:tcPr>
          <w:p>
            <w:pPr>
              <w:keepNext/>
              <w:keepLines/>
              <w:widowControl/>
              <w:jc w:val="left"/>
              <w:rPr>
                <w:rFonts w:ascii="宋体" w:hAnsi="宋体" w:cs="宋体"/>
                <w:kern w:val="0"/>
                <w:szCs w:val="21"/>
              </w:rPr>
            </w:pPr>
            <w:r>
              <w:rPr>
                <w:rFonts w:hint="eastAsia" w:ascii="宋体" w:hAnsi="宋体" w:cs="宋体"/>
                <w:kern w:val="0"/>
                <w:szCs w:val="21"/>
              </w:rPr>
              <w:t>每月将变更资料反馈到系统管理员</w:t>
            </w:r>
          </w:p>
        </w:tc>
        <w:tc>
          <w:tcPr>
            <w:tcW w:w="720" w:type="dxa"/>
            <w:vMerge w:val="continue"/>
            <w:vAlign w:val="center"/>
          </w:tcPr>
          <w:p>
            <w:pPr>
              <w:keepNext/>
              <w:keepLines/>
              <w:widowControl/>
              <w:jc w:val="left"/>
              <w:rPr>
                <w:rFonts w:ascii="宋体" w:hAnsi="宋体" w:cs="宋体"/>
                <w:kern w:val="0"/>
                <w:szCs w:val="21"/>
              </w:rPr>
            </w:pPr>
          </w:p>
        </w:tc>
        <w:tc>
          <w:tcPr>
            <w:tcW w:w="2340" w:type="dxa"/>
            <w:vMerge w:val="continue"/>
            <w:vAlign w:val="center"/>
          </w:tcPr>
          <w:p>
            <w:pPr>
              <w:keepNext/>
              <w:keepLines/>
              <w:widowControl/>
              <w:jc w:val="left"/>
              <w:rPr>
                <w:rFonts w:ascii="宋体" w:hAnsi="宋体" w:cs="宋体"/>
                <w:kern w:val="0"/>
                <w:szCs w:val="21"/>
              </w:rPr>
            </w:pPr>
          </w:p>
        </w:tc>
        <w:tc>
          <w:tcPr>
            <w:tcW w:w="1080" w:type="dxa"/>
            <w:vMerge w:val="continue"/>
            <w:vAlign w:val="center"/>
          </w:tcPr>
          <w:p>
            <w:pPr>
              <w:keepNext/>
              <w:keepLines/>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40" w:type="dxa"/>
            <w:vMerge w:val="restart"/>
            <w:vAlign w:val="center"/>
          </w:tcPr>
          <w:p>
            <w:pPr>
              <w:keepNext/>
              <w:keepLines/>
              <w:widowControl/>
              <w:jc w:val="center"/>
              <w:rPr>
                <w:rFonts w:ascii="宋体" w:hAnsi="宋体" w:cs="宋体"/>
                <w:kern w:val="0"/>
                <w:szCs w:val="21"/>
              </w:rPr>
            </w:pPr>
            <w:r>
              <w:rPr>
                <w:rFonts w:hint="eastAsia" w:ascii="宋体" w:hAnsi="宋体" w:cs="宋体"/>
                <w:kern w:val="0"/>
                <w:szCs w:val="21"/>
              </w:rPr>
              <w:t>3</w:t>
            </w:r>
          </w:p>
        </w:tc>
        <w:tc>
          <w:tcPr>
            <w:tcW w:w="2575" w:type="dxa"/>
            <w:vMerge w:val="restart"/>
            <w:vAlign w:val="center"/>
          </w:tcPr>
          <w:p>
            <w:pPr>
              <w:keepNext/>
              <w:keepLines/>
              <w:widowControl/>
              <w:jc w:val="left"/>
              <w:rPr>
                <w:rFonts w:ascii="宋体" w:hAnsi="宋体" w:cs="宋体"/>
                <w:kern w:val="0"/>
                <w:szCs w:val="21"/>
              </w:rPr>
            </w:pPr>
            <w:r>
              <w:rPr>
                <w:rFonts w:hint="eastAsia" w:ascii="宋体" w:hAnsi="宋体" w:cs="宋体"/>
                <w:kern w:val="0"/>
                <w:szCs w:val="21"/>
              </w:rPr>
              <w:t>故障处理及时率</w:t>
            </w:r>
          </w:p>
        </w:tc>
        <w:tc>
          <w:tcPr>
            <w:tcW w:w="2465" w:type="dxa"/>
            <w:vAlign w:val="center"/>
          </w:tcPr>
          <w:p>
            <w:pPr>
              <w:keepNext/>
              <w:keepLines/>
              <w:widowControl/>
              <w:jc w:val="left"/>
              <w:rPr>
                <w:rFonts w:ascii="宋体" w:hAnsi="宋体" w:cs="宋体"/>
                <w:kern w:val="0"/>
                <w:szCs w:val="21"/>
              </w:rPr>
            </w:pPr>
            <w:r>
              <w:rPr>
                <w:rFonts w:hint="eastAsia" w:ascii="宋体" w:hAnsi="宋体" w:cs="宋体"/>
                <w:kern w:val="0"/>
                <w:szCs w:val="21"/>
              </w:rPr>
              <w:t>≥99%</w:t>
            </w:r>
          </w:p>
        </w:tc>
        <w:tc>
          <w:tcPr>
            <w:tcW w:w="720" w:type="dxa"/>
            <w:vMerge w:val="restart"/>
            <w:vAlign w:val="center"/>
          </w:tcPr>
          <w:p>
            <w:pPr>
              <w:keepNext/>
              <w:keepLines/>
              <w:widowControl/>
              <w:jc w:val="center"/>
              <w:rPr>
                <w:rFonts w:ascii="宋体" w:hAnsi="宋体" w:cs="宋体"/>
                <w:kern w:val="0"/>
                <w:szCs w:val="21"/>
              </w:rPr>
            </w:pPr>
            <w:r>
              <w:rPr>
                <w:rFonts w:hint="eastAsia" w:ascii="宋体" w:hAnsi="宋体" w:cs="宋体"/>
                <w:kern w:val="0"/>
                <w:szCs w:val="21"/>
              </w:rPr>
              <w:t>20分</w:t>
            </w:r>
          </w:p>
        </w:tc>
        <w:tc>
          <w:tcPr>
            <w:tcW w:w="2340" w:type="dxa"/>
            <w:vMerge w:val="restart"/>
            <w:vAlign w:val="center"/>
          </w:tcPr>
          <w:p>
            <w:pPr>
              <w:keepNext/>
              <w:keepLines/>
              <w:widowControl/>
              <w:jc w:val="left"/>
              <w:rPr>
                <w:rFonts w:ascii="宋体" w:hAnsi="宋体" w:cs="宋体"/>
                <w:kern w:val="0"/>
                <w:szCs w:val="21"/>
              </w:rPr>
            </w:pPr>
            <w:r>
              <w:rPr>
                <w:rFonts w:hint="eastAsia" w:ascii="宋体" w:hAnsi="宋体" w:cs="宋体"/>
                <w:kern w:val="0"/>
                <w:szCs w:val="21"/>
              </w:rPr>
              <w:t>未按规定时间响应并修复故障,每次扣5分</w:t>
            </w:r>
          </w:p>
        </w:tc>
        <w:tc>
          <w:tcPr>
            <w:tcW w:w="1080" w:type="dxa"/>
            <w:vMerge w:val="restart"/>
            <w:vAlign w:val="center"/>
          </w:tcPr>
          <w:p>
            <w:pPr>
              <w:keepNext/>
              <w:keepLines/>
              <w:widowControl/>
              <w:jc w:val="left"/>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40" w:type="dxa"/>
            <w:vMerge w:val="continue"/>
            <w:vAlign w:val="center"/>
          </w:tcPr>
          <w:p>
            <w:pPr>
              <w:keepNext/>
              <w:keepLines/>
              <w:widowControl/>
              <w:jc w:val="left"/>
              <w:rPr>
                <w:rFonts w:ascii="宋体" w:hAnsi="宋体" w:cs="宋体"/>
                <w:kern w:val="0"/>
                <w:szCs w:val="21"/>
              </w:rPr>
            </w:pPr>
          </w:p>
        </w:tc>
        <w:tc>
          <w:tcPr>
            <w:tcW w:w="2575" w:type="dxa"/>
            <w:vMerge w:val="continue"/>
            <w:vAlign w:val="center"/>
          </w:tcPr>
          <w:p>
            <w:pPr>
              <w:keepNext/>
              <w:keepLines/>
              <w:widowControl/>
              <w:jc w:val="left"/>
              <w:rPr>
                <w:rFonts w:ascii="宋体" w:hAnsi="宋体" w:cs="宋体"/>
                <w:kern w:val="0"/>
                <w:szCs w:val="21"/>
              </w:rPr>
            </w:pPr>
          </w:p>
        </w:tc>
        <w:tc>
          <w:tcPr>
            <w:tcW w:w="2465" w:type="dxa"/>
            <w:vAlign w:val="center"/>
          </w:tcPr>
          <w:p>
            <w:pPr>
              <w:keepNext/>
              <w:keepLines/>
              <w:widowControl/>
              <w:rPr>
                <w:rFonts w:ascii="宋体" w:hAnsi="宋体" w:cs="宋体"/>
                <w:kern w:val="0"/>
                <w:szCs w:val="21"/>
              </w:rPr>
            </w:pPr>
            <w:r>
              <w:rPr>
                <w:rFonts w:hint="eastAsia" w:ascii="宋体" w:hAnsi="宋体" w:cs="宋体"/>
                <w:kern w:val="0"/>
                <w:szCs w:val="21"/>
              </w:rPr>
              <w:t>自接到故障报修至系统恢复正常工作时间</w:t>
            </w:r>
            <w:r>
              <w:rPr>
                <w:rFonts w:ascii="宋体" w:hAnsi="宋体" w:cs="宋体"/>
                <w:kern w:val="0"/>
                <w:szCs w:val="21"/>
              </w:rPr>
              <w:t>不超出合同的要求</w:t>
            </w:r>
          </w:p>
        </w:tc>
        <w:tc>
          <w:tcPr>
            <w:tcW w:w="720" w:type="dxa"/>
            <w:vMerge w:val="continue"/>
            <w:vAlign w:val="center"/>
          </w:tcPr>
          <w:p>
            <w:pPr>
              <w:keepNext/>
              <w:keepLines/>
              <w:widowControl/>
              <w:jc w:val="left"/>
              <w:rPr>
                <w:rFonts w:ascii="宋体" w:hAnsi="宋体" w:cs="宋体"/>
                <w:kern w:val="0"/>
                <w:szCs w:val="21"/>
              </w:rPr>
            </w:pPr>
          </w:p>
        </w:tc>
        <w:tc>
          <w:tcPr>
            <w:tcW w:w="2340" w:type="dxa"/>
            <w:vMerge w:val="continue"/>
            <w:vAlign w:val="center"/>
          </w:tcPr>
          <w:p>
            <w:pPr>
              <w:keepNext/>
              <w:keepLines/>
              <w:widowControl/>
              <w:jc w:val="left"/>
              <w:rPr>
                <w:rFonts w:ascii="宋体" w:hAnsi="宋体" w:cs="宋体"/>
                <w:kern w:val="0"/>
                <w:szCs w:val="21"/>
              </w:rPr>
            </w:pPr>
          </w:p>
        </w:tc>
        <w:tc>
          <w:tcPr>
            <w:tcW w:w="1080" w:type="dxa"/>
            <w:vMerge w:val="continue"/>
            <w:vAlign w:val="center"/>
          </w:tcPr>
          <w:p>
            <w:pPr>
              <w:keepNext/>
              <w:keepLines/>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40" w:type="dxa"/>
            <w:vAlign w:val="center"/>
          </w:tcPr>
          <w:p>
            <w:pPr>
              <w:keepNext/>
              <w:keepLines/>
              <w:widowControl/>
              <w:jc w:val="center"/>
              <w:rPr>
                <w:rFonts w:ascii="宋体" w:hAnsi="宋体" w:cs="宋体"/>
                <w:kern w:val="0"/>
                <w:szCs w:val="21"/>
              </w:rPr>
            </w:pPr>
            <w:r>
              <w:rPr>
                <w:rFonts w:hint="eastAsia" w:ascii="宋体" w:hAnsi="宋体" w:cs="宋体"/>
                <w:kern w:val="0"/>
                <w:szCs w:val="21"/>
              </w:rPr>
              <w:t>4</w:t>
            </w:r>
          </w:p>
        </w:tc>
        <w:tc>
          <w:tcPr>
            <w:tcW w:w="2575" w:type="dxa"/>
            <w:vAlign w:val="center"/>
          </w:tcPr>
          <w:p>
            <w:pPr>
              <w:keepNext/>
              <w:keepLines/>
              <w:widowControl/>
              <w:jc w:val="left"/>
              <w:rPr>
                <w:rFonts w:ascii="宋体" w:hAnsi="宋体" w:cs="宋体"/>
                <w:kern w:val="0"/>
                <w:szCs w:val="21"/>
              </w:rPr>
            </w:pPr>
            <w:r>
              <w:rPr>
                <w:rFonts w:hint="eastAsia" w:ascii="宋体" w:hAnsi="宋体" w:cs="宋体"/>
                <w:kern w:val="0"/>
                <w:szCs w:val="21"/>
              </w:rPr>
              <w:t>维护质量、检查维护记录等情</w:t>
            </w:r>
          </w:p>
        </w:tc>
        <w:tc>
          <w:tcPr>
            <w:tcW w:w="2465" w:type="dxa"/>
            <w:vAlign w:val="center"/>
          </w:tcPr>
          <w:p>
            <w:pPr>
              <w:keepNext/>
              <w:keepLines/>
              <w:widowControl/>
              <w:jc w:val="left"/>
              <w:rPr>
                <w:rFonts w:ascii="宋体" w:hAnsi="宋体" w:cs="宋体"/>
                <w:kern w:val="0"/>
                <w:szCs w:val="21"/>
              </w:rPr>
            </w:pPr>
            <w:r>
              <w:rPr>
                <w:rFonts w:hint="eastAsia" w:ascii="宋体" w:hAnsi="宋体" w:cs="宋体"/>
                <w:kern w:val="0"/>
                <w:szCs w:val="21"/>
              </w:rPr>
              <w:t>符合要求</w:t>
            </w:r>
          </w:p>
        </w:tc>
        <w:tc>
          <w:tcPr>
            <w:tcW w:w="720" w:type="dxa"/>
            <w:vAlign w:val="center"/>
          </w:tcPr>
          <w:p>
            <w:pPr>
              <w:keepNext/>
              <w:keepLines/>
              <w:widowControl/>
              <w:jc w:val="center"/>
              <w:rPr>
                <w:rFonts w:ascii="宋体" w:hAnsi="宋体" w:cs="宋体"/>
                <w:kern w:val="0"/>
                <w:szCs w:val="21"/>
              </w:rPr>
            </w:pPr>
            <w:r>
              <w:rPr>
                <w:rFonts w:hint="eastAsia" w:ascii="宋体" w:hAnsi="宋体" w:cs="宋体"/>
                <w:kern w:val="0"/>
                <w:szCs w:val="21"/>
              </w:rPr>
              <w:t>20分</w:t>
            </w:r>
          </w:p>
        </w:tc>
        <w:tc>
          <w:tcPr>
            <w:tcW w:w="2340" w:type="dxa"/>
            <w:vAlign w:val="center"/>
          </w:tcPr>
          <w:p>
            <w:pPr>
              <w:keepNext/>
              <w:keepLines/>
              <w:widowControl/>
              <w:jc w:val="left"/>
              <w:rPr>
                <w:rFonts w:ascii="宋体" w:hAnsi="宋体" w:cs="宋体"/>
                <w:kern w:val="0"/>
                <w:szCs w:val="21"/>
              </w:rPr>
            </w:pPr>
            <w:r>
              <w:rPr>
                <w:rFonts w:hint="eastAsia" w:ascii="宋体" w:hAnsi="宋体" w:cs="宋体"/>
                <w:kern w:val="0"/>
                <w:szCs w:val="21"/>
              </w:rPr>
              <w:t>没有达到合同规定要求的，检查未做或未登记的,每次、每项扣5分</w:t>
            </w:r>
          </w:p>
        </w:tc>
        <w:tc>
          <w:tcPr>
            <w:tcW w:w="1080" w:type="dxa"/>
            <w:vAlign w:val="center"/>
          </w:tcPr>
          <w:p>
            <w:pPr>
              <w:keepNext/>
              <w:keepLines/>
              <w:widowControl/>
              <w:jc w:val="left"/>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40" w:type="dxa"/>
            <w:vAlign w:val="center"/>
          </w:tcPr>
          <w:p>
            <w:pPr>
              <w:keepNext/>
              <w:keepLines/>
              <w:widowControl/>
              <w:jc w:val="center"/>
              <w:rPr>
                <w:rFonts w:ascii="宋体" w:hAnsi="宋体" w:cs="宋体"/>
                <w:kern w:val="0"/>
                <w:szCs w:val="21"/>
              </w:rPr>
            </w:pPr>
            <w:r>
              <w:rPr>
                <w:rFonts w:hint="eastAsia" w:ascii="宋体" w:hAnsi="宋体" w:cs="宋体"/>
                <w:kern w:val="0"/>
                <w:szCs w:val="21"/>
              </w:rPr>
              <w:t>5</w:t>
            </w:r>
          </w:p>
        </w:tc>
        <w:tc>
          <w:tcPr>
            <w:tcW w:w="2575" w:type="dxa"/>
            <w:vAlign w:val="center"/>
          </w:tcPr>
          <w:p>
            <w:pPr>
              <w:keepNext/>
              <w:keepLines/>
              <w:widowControl/>
              <w:jc w:val="left"/>
              <w:rPr>
                <w:rFonts w:ascii="宋体" w:hAnsi="宋体" w:cs="宋体"/>
                <w:kern w:val="0"/>
                <w:szCs w:val="21"/>
              </w:rPr>
            </w:pPr>
            <w:r>
              <w:rPr>
                <w:rFonts w:hint="eastAsia" w:ascii="宋体" w:hAnsi="宋体" w:cs="宋体"/>
                <w:kern w:val="0"/>
                <w:szCs w:val="21"/>
              </w:rPr>
              <w:t>服务规范</w:t>
            </w:r>
          </w:p>
        </w:tc>
        <w:tc>
          <w:tcPr>
            <w:tcW w:w="2465" w:type="dxa"/>
            <w:vAlign w:val="center"/>
          </w:tcPr>
          <w:p>
            <w:pPr>
              <w:keepNext/>
              <w:keepLines/>
              <w:widowControl/>
              <w:jc w:val="left"/>
              <w:rPr>
                <w:rFonts w:ascii="宋体" w:hAnsi="宋体" w:cs="宋体"/>
                <w:kern w:val="0"/>
                <w:szCs w:val="21"/>
              </w:rPr>
            </w:pPr>
            <w:r>
              <w:rPr>
                <w:rFonts w:hint="eastAsia" w:ascii="宋体" w:hAnsi="宋体" w:cs="宋体"/>
                <w:kern w:val="0"/>
                <w:szCs w:val="21"/>
              </w:rPr>
              <w:t>运维人员的</w:t>
            </w:r>
            <w:r>
              <w:rPr>
                <w:rFonts w:hint="eastAsia" w:ascii="宋体" w:hAnsi="宋体"/>
                <w:szCs w:val="21"/>
              </w:rPr>
              <w:t>服务行为规范</w:t>
            </w:r>
            <w:r>
              <w:rPr>
                <w:rFonts w:hint="eastAsia" w:ascii="宋体" w:hAnsi="宋体" w:cs="宋体"/>
                <w:kern w:val="0"/>
                <w:szCs w:val="21"/>
              </w:rPr>
              <w:t>要求和</w:t>
            </w:r>
            <w:r>
              <w:rPr>
                <w:rFonts w:hint="eastAsia" w:ascii="宋体" w:hAnsi="宋体"/>
                <w:szCs w:val="21"/>
              </w:rPr>
              <w:t>其它要求</w:t>
            </w:r>
            <w:r>
              <w:rPr>
                <w:rFonts w:hint="eastAsia" w:ascii="宋体" w:hAnsi="宋体" w:cs="宋体"/>
                <w:kern w:val="0"/>
                <w:szCs w:val="21"/>
              </w:rPr>
              <w:t>是否符合</w:t>
            </w:r>
          </w:p>
        </w:tc>
        <w:tc>
          <w:tcPr>
            <w:tcW w:w="720" w:type="dxa"/>
            <w:vAlign w:val="center"/>
          </w:tcPr>
          <w:p>
            <w:pPr>
              <w:keepNext/>
              <w:keepLines/>
              <w:widowControl/>
              <w:jc w:val="center"/>
              <w:rPr>
                <w:rFonts w:ascii="宋体" w:hAnsi="宋体" w:cs="宋体"/>
                <w:kern w:val="0"/>
                <w:szCs w:val="21"/>
              </w:rPr>
            </w:pPr>
            <w:r>
              <w:rPr>
                <w:rFonts w:hint="eastAsia" w:ascii="宋体" w:hAnsi="宋体" w:cs="宋体"/>
                <w:kern w:val="0"/>
                <w:szCs w:val="21"/>
              </w:rPr>
              <w:t>10分</w:t>
            </w:r>
          </w:p>
        </w:tc>
        <w:tc>
          <w:tcPr>
            <w:tcW w:w="2340" w:type="dxa"/>
            <w:vAlign w:val="center"/>
          </w:tcPr>
          <w:p>
            <w:pPr>
              <w:keepNext/>
              <w:keepLines/>
              <w:widowControl/>
              <w:jc w:val="left"/>
              <w:rPr>
                <w:rFonts w:ascii="宋体" w:hAnsi="宋体" w:cs="宋体"/>
                <w:kern w:val="0"/>
                <w:szCs w:val="21"/>
              </w:rPr>
            </w:pPr>
            <w:r>
              <w:rPr>
                <w:rFonts w:hint="eastAsia" w:ascii="宋体" w:hAnsi="宋体" w:cs="宋体"/>
                <w:kern w:val="0"/>
                <w:szCs w:val="21"/>
              </w:rPr>
              <w:t>每次违规扣2分</w:t>
            </w:r>
          </w:p>
        </w:tc>
        <w:tc>
          <w:tcPr>
            <w:tcW w:w="1080" w:type="dxa"/>
            <w:vAlign w:val="center"/>
          </w:tcPr>
          <w:p>
            <w:pPr>
              <w:keepNext/>
              <w:keepLines/>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40" w:type="dxa"/>
            <w:vAlign w:val="center"/>
          </w:tcPr>
          <w:p>
            <w:pPr>
              <w:keepNext/>
              <w:keepLines/>
              <w:widowControl/>
              <w:jc w:val="center"/>
              <w:rPr>
                <w:rFonts w:ascii="宋体" w:hAnsi="宋体" w:cs="宋体"/>
                <w:kern w:val="0"/>
                <w:szCs w:val="21"/>
              </w:rPr>
            </w:pPr>
          </w:p>
        </w:tc>
        <w:tc>
          <w:tcPr>
            <w:tcW w:w="8100" w:type="dxa"/>
            <w:gridSpan w:val="4"/>
            <w:vAlign w:val="center"/>
          </w:tcPr>
          <w:p>
            <w:pPr>
              <w:keepNext/>
              <w:keepLines/>
              <w:widowControl/>
              <w:jc w:val="left"/>
              <w:rPr>
                <w:rFonts w:ascii="宋体" w:hAnsi="宋体" w:cs="宋体"/>
                <w:kern w:val="0"/>
                <w:szCs w:val="21"/>
              </w:rPr>
            </w:pPr>
            <w:r>
              <w:rPr>
                <w:rFonts w:hint="eastAsia" w:ascii="宋体" w:hAnsi="宋体" w:cs="宋体"/>
                <w:kern w:val="0"/>
                <w:szCs w:val="21"/>
              </w:rPr>
              <w:t>合计得分</w:t>
            </w:r>
          </w:p>
        </w:tc>
        <w:tc>
          <w:tcPr>
            <w:tcW w:w="1080" w:type="dxa"/>
            <w:vAlign w:val="center"/>
          </w:tcPr>
          <w:p>
            <w:pPr>
              <w:keepNext/>
              <w:keepLines/>
              <w:widowControl/>
              <w:jc w:val="left"/>
              <w:rPr>
                <w:rFonts w:ascii="宋体" w:hAnsi="宋体" w:cs="宋体"/>
                <w:kern w:val="0"/>
                <w:szCs w:val="21"/>
              </w:rPr>
            </w:pPr>
            <w:r>
              <w:rPr>
                <w:rFonts w:hint="eastAsia" w:ascii="宋体" w:hAnsi="宋体" w:cs="宋体"/>
                <w:kern w:val="0"/>
                <w:szCs w:val="21"/>
              </w:rPr>
              <w:t>　</w:t>
            </w:r>
          </w:p>
        </w:tc>
      </w:tr>
    </w:tbl>
    <w:p>
      <w:pPr>
        <w:spacing w:line="560" w:lineRule="exact"/>
        <w:jc w:val="center"/>
        <w:rPr>
          <w:rFonts w:ascii="宋体" w:hAnsi="宋体"/>
          <w:sz w:val="36"/>
          <w:szCs w:val="21"/>
          <w:lang w:val="zh-CN"/>
        </w:rPr>
      </w:pPr>
    </w:p>
    <w:p>
      <w:pPr>
        <w:jc w:val="left"/>
        <w:rPr>
          <w:rFonts w:ascii="宋体" w:hAnsi="宋体"/>
          <w:szCs w:val="21"/>
          <w:lang w:val="zh-CN"/>
        </w:rPr>
      </w:pPr>
      <w:r>
        <w:rPr>
          <w:rFonts w:hint="eastAsia" w:ascii="宋体" w:hAnsi="宋体"/>
          <w:szCs w:val="21"/>
          <w:lang w:val="zh-CN"/>
        </w:rPr>
        <w:t>说明：</w:t>
      </w:r>
    </w:p>
    <w:p>
      <w:pPr>
        <w:jc w:val="left"/>
        <w:rPr>
          <w:rFonts w:ascii="宋体" w:hAnsi="宋体"/>
          <w:szCs w:val="21"/>
          <w:lang w:val="zh-CN"/>
        </w:rPr>
      </w:pPr>
      <w:r>
        <w:rPr>
          <w:rFonts w:ascii="宋体" w:hAnsi="宋体"/>
          <w:szCs w:val="21"/>
          <w:lang w:val="zh-CN"/>
        </w:rPr>
        <w:t>1</w:t>
      </w:r>
      <w:r>
        <w:rPr>
          <w:rFonts w:hint="eastAsia" w:ascii="宋体" w:hAnsi="宋体"/>
          <w:szCs w:val="21"/>
          <w:lang w:val="zh-CN"/>
        </w:rPr>
        <w:t>、每个考核周期，积分初始值统一设定为</w:t>
      </w:r>
      <w:r>
        <w:rPr>
          <w:rFonts w:ascii="宋体" w:hAnsi="宋体"/>
          <w:szCs w:val="21"/>
          <w:lang w:val="zh-CN"/>
        </w:rPr>
        <w:t>100</w:t>
      </w:r>
      <w:r>
        <w:rPr>
          <w:rFonts w:hint="eastAsia" w:ascii="宋体" w:hAnsi="宋体"/>
          <w:szCs w:val="21"/>
          <w:lang w:val="zh-CN"/>
        </w:rPr>
        <w:t>分。</w:t>
      </w:r>
    </w:p>
    <w:p>
      <w:pPr>
        <w:jc w:val="left"/>
        <w:rPr>
          <w:rFonts w:ascii="宋体" w:hAnsi="宋体"/>
          <w:szCs w:val="21"/>
          <w:lang w:val="zh-CN"/>
        </w:rPr>
      </w:pPr>
      <w:r>
        <w:rPr>
          <w:rFonts w:ascii="宋体" w:hAnsi="宋体"/>
          <w:szCs w:val="21"/>
          <w:lang w:val="zh-CN"/>
        </w:rPr>
        <w:t>2</w:t>
      </w:r>
      <w:r>
        <w:rPr>
          <w:rFonts w:hint="eastAsia" w:ascii="宋体" w:hAnsi="宋体"/>
          <w:szCs w:val="21"/>
          <w:lang w:val="zh-CN"/>
        </w:rPr>
        <w:t>、考核积分与支付维保费挂钩</w:t>
      </w:r>
      <w:r>
        <w:rPr>
          <w:rFonts w:ascii="宋体" w:hAnsi="宋体"/>
          <w:szCs w:val="21"/>
          <w:lang w:val="zh-CN"/>
        </w:rPr>
        <w:t>:</w:t>
      </w:r>
      <w:r>
        <w:rPr>
          <w:rFonts w:hint="eastAsia" w:ascii="宋体" w:hAnsi="宋体"/>
          <w:szCs w:val="21"/>
          <w:lang w:val="zh-CN"/>
        </w:rPr>
        <w:t>（</w:t>
      </w:r>
      <w:r>
        <w:rPr>
          <w:rFonts w:ascii="宋体" w:hAnsi="宋体"/>
          <w:szCs w:val="21"/>
          <w:lang w:val="zh-CN"/>
        </w:rPr>
        <w:t>1</w:t>
      </w:r>
      <w:r>
        <w:rPr>
          <w:rFonts w:hint="eastAsia" w:ascii="宋体" w:hAnsi="宋体"/>
          <w:szCs w:val="21"/>
          <w:lang w:val="zh-CN"/>
        </w:rPr>
        <w:t>）≥</w:t>
      </w:r>
      <w:r>
        <w:rPr>
          <w:rFonts w:ascii="宋体" w:hAnsi="宋体"/>
          <w:szCs w:val="21"/>
          <w:lang w:val="zh-CN"/>
        </w:rPr>
        <w:t>95</w:t>
      </w:r>
      <w:r>
        <w:rPr>
          <w:rFonts w:hint="eastAsia" w:ascii="宋体" w:hAnsi="宋体"/>
          <w:szCs w:val="21"/>
          <w:lang w:val="zh-CN"/>
        </w:rPr>
        <w:t>分为基本满意，不予扣罚；（</w:t>
      </w:r>
      <w:r>
        <w:rPr>
          <w:rFonts w:ascii="宋体" w:hAnsi="宋体"/>
          <w:szCs w:val="21"/>
          <w:lang w:val="zh-CN"/>
        </w:rPr>
        <w:t>2</w:t>
      </w:r>
      <w:r>
        <w:rPr>
          <w:rFonts w:hint="eastAsia" w:ascii="宋体" w:hAnsi="宋体"/>
          <w:szCs w:val="21"/>
          <w:lang w:val="zh-CN"/>
        </w:rPr>
        <w:t>）</w:t>
      </w:r>
      <w:r>
        <w:rPr>
          <w:rFonts w:ascii="宋体" w:hAnsi="宋体"/>
          <w:szCs w:val="21"/>
          <w:lang w:val="zh-CN"/>
        </w:rPr>
        <w:t>95</w:t>
      </w:r>
      <w:r>
        <w:rPr>
          <w:rFonts w:hint="eastAsia" w:ascii="宋体" w:hAnsi="宋体"/>
          <w:szCs w:val="21"/>
          <w:lang w:val="zh-CN"/>
        </w:rPr>
        <w:t>分</w:t>
      </w:r>
      <w:r>
        <w:rPr>
          <w:rFonts w:ascii="宋体" w:hAnsi="宋体"/>
          <w:szCs w:val="21"/>
          <w:lang w:val="zh-CN"/>
        </w:rPr>
        <w:t>&gt;</w:t>
      </w:r>
      <w:r>
        <w:rPr>
          <w:rFonts w:hint="eastAsia" w:ascii="宋体" w:hAnsi="宋体"/>
          <w:szCs w:val="21"/>
          <w:lang w:val="zh-CN"/>
        </w:rPr>
        <w:t>考核积分≥</w:t>
      </w:r>
      <w:r>
        <w:rPr>
          <w:rFonts w:ascii="宋体" w:hAnsi="宋体"/>
          <w:szCs w:val="21"/>
          <w:lang w:val="zh-CN"/>
        </w:rPr>
        <w:t>85</w:t>
      </w:r>
      <w:r>
        <w:rPr>
          <w:rFonts w:hint="eastAsia" w:ascii="宋体" w:hAnsi="宋体"/>
          <w:szCs w:val="21"/>
          <w:lang w:val="zh-CN"/>
        </w:rPr>
        <w:t>分，乙方应按该周期维保费的</w:t>
      </w:r>
      <w:r>
        <w:rPr>
          <w:rFonts w:ascii="宋体" w:hAnsi="宋体"/>
          <w:szCs w:val="21"/>
          <w:lang w:val="zh-CN"/>
        </w:rPr>
        <w:t>2%</w:t>
      </w:r>
      <w:r>
        <w:rPr>
          <w:rFonts w:hint="eastAsia" w:ascii="宋体" w:hAnsi="宋体"/>
          <w:szCs w:val="21"/>
          <w:lang w:val="zh-CN"/>
        </w:rPr>
        <w:t>向甲方支付违约金；（</w:t>
      </w:r>
      <w:r>
        <w:rPr>
          <w:rFonts w:ascii="宋体" w:hAnsi="宋体"/>
          <w:szCs w:val="21"/>
          <w:lang w:val="zh-CN"/>
        </w:rPr>
        <w:t>3</w:t>
      </w:r>
      <w:r>
        <w:rPr>
          <w:rFonts w:hint="eastAsia" w:ascii="宋体" w:hAnsi="宋体"/>
          <w:szCs w:val="21"/>
          <w:lang w:val="zh-CN"/>
        </w:rPr>
        <w:t>）</w:t>
      </w:r>
      <w:r>
        <w:rPr>
          <w:rFonts w:ascii="宋体" w:hAnsi="宋体"/>
          <w:szCs w:val="21"/>
          <w:lang w:val="zh-CN"/>
        </w:rPr>
        <w:t>85</w:t>
      </w:r>
      <w:r>
        <w:rPr>
          <w:rFonts w:hint="eastAsia" w:ascii="宋体" w:hAnsi="宋体"/>
          <w:szCs w:val="21"/>
          <w:lang w:val="zh-CN"/>
        </w:rPr>
        <w:t>分</w:t>
      </w:r>
      <w:r>
        <w:rPr>
          <w:rFonts w:ascii="宋体" w:hAnsi="宋体"/>
          <w:szCs w:val="21"/>
          <w:lang w:val="zh-CN"/>
        </w:rPr>
        <w:t>&gt;</w:t>
      </w:r>
      <w:r>
        <w:rPr>
          <w:rFonts w:hint="eastAsia" w:ascii="宋体" w:hAnsi="宋体"/>
          <w:szCs w:val="21"/>
          <w:lang w:val="zh-CN"/>
        </w:rPr>
        <w:t>考核积分≥</w:t>
      </w:r>
      <w:r>
        <w:rPr>
          <w:rFonts w:ascii="宋体" w:hAnsi="宋体"/>
          <w:szCs w:val="21"/>
          <w:lang w:val="zh-CN"/>
        </w:rPr>
        <w:t>80</w:t>
      </w:r>
      <w:r>
        <w:rPr>
          <w:rFonts w:hint="eastAsia" w:ascii="宋体" w:hAnsi="宋体"/>
          <w:szCs w:val="21"/>
          <w:lang w:val="zh-CN"/>
        </w:rPr>
        <w:t>分，乙方应按该周期维保费的</w:t>
      </w:r>
      <w:r>
        <w:rPr>
          <w:rFonts w:ascii="宋体" w:hAnsi="宋体"/>
          <w:szCs w:val="21"/>
          <w:lang w:val="zh-CN"/>
        </w:rPr>
        <w:t>4%</w:t>
      </w:r>
      <w:r>
        <w:rPr>
          <w:rFonts w:hint="eastAsia" w:ascii="宋体" w:hAnsi="宋体"/>
          <w:szCs w:val="21"/>
          <w:lang w:val="zh-CN"/>
        </w:rPr>
        <w:t>向甲方支付违约金；</w:t>
      </w:r>
      <w:r>
        <w:rPr>
          <w:rFonts w:ascii="宋体" w:hAnsi="宋体"/>
          <w:szCs w:val="21"/>
          <w:lang w:val="zh-CN"/>
        </w:rPr>
        <w:t>4)</w:t>
      </w:r>
      <w:r>
        <w:rPr>
          <w:rFonts w:hint="eastAsia" w:ascii="宋体" w:hAnsi="宋体"/>
          <w:szCs w:val="21"/>
          <w:lang w:val="zh-CN"/>
        </w:rPr>
        <w:t>考核积分</w:t>
      </w:r>
      <w:r>
        <w:rPr>
          <w:rFonts w:ascii="宋体" w:hAnsi="宋体"/>
          <w:szCs w:val="21"/>
          <w:lang w:val="zh-CN"/>
        </w:rPr>
        <w:t>&lt;80</w:t>
      </w:r>
      <w:r>
        <w:rPr>
          <w:rFonts w:hint="eastAsia" w:ascii="宋体" w:hAnsi="宋体"/>
          <w:szCs w:val="21"/>
          <w:lang w:val="zh-CN"/>
        </w:rPr>
        <w:t>分，乙方应按该周期维保费的</w:t>
      </w:r>
      <w:r>
        <w:rPr>
          <w:rFonts w:ascii="宋体" w:hAnsi="宋体"/>
          <w:szCs w:val="21"/>
          <w:lang w:val="zh-CN"/>
        </w:rPr>
        <w:t>6%</w:t>
      </w:r>
      <w:r>
        <w:rPr>
          <w:rFonts w:hint="eastAsia" w:ascii="宋体" w:hAnsi="宋体"/>
          <w:szCs w:val="21"/>
          <w:lang w:val="zh-CN"/>
        </w:rPr>
        <w:t>向甲方支付违约金，且甲方有权单方解除合同。甲方有权直接从应支付乙方的维保费用中扣除前述违约金。</w:t>
      </w:r>
    </w:p>
    <w:p>
      <w:pPr>
        <w:rPr>
          <w:rFonts w:ascii="宋体" w:hAnsi="宋体"/>
          <w:b/>
          <w:sz w:val="22"/>
        </w:rPr>
      </w:pPr>
      <w:r>
        <w:rPr>
          <w:rFonts w:ascii="宋体" w:hAnsi="宋体"/>
          <w:szCs w:val="21"/>
        </w:rPr>
        <w:br w:type="page"/>
      </w:r>
      <w:r>
        <w:rPr>
          <w:rFonts w:hint="eastAsia" w:ascii="宋体" w:hAnsi="宋体"/>
          <w:b/>
          <w:sz w:val="22"/>
        </w:rPr>
        <w:t>附件</w:t>
      </w:r>
      <w:r>
        <w:rPr>
          <w:rFonts w:ascii="宋体" w:hAnsi="宋体"/>
          <w:b/>
          <w:sz w:val="22"/>
        </w:rPr>
        <w:t>7</w:t>
      </w:r>
      <w:r>
        <w:rPr>
          <w:rFonts w:hint="eastAsia" w:ascii="宋体" w:hAnsi="宋体"/>
          <w:b/>
          <w:sz w:val="22"/>
        </w:rPr>
        <w:t>：乙方在投标时做出的其他合同中未约定的承诺服务内容</w:t>
      </w:r>
    </w:p>
    <w:p>
      <w:pPr>
        <w:rPr>
          <w:rFonts w:ascii="宋体" w:hAnsi="宋体" w:cs="仿宋_GB2312"/>
          <w:szCs w:val="21"/>
        </w:rPr>
      </w:pPr>
      <w:r>
        <w:rPr>
          <w:rFonts w:hint="eastAsia" w:ascii="宋体" w:hAnsi="宋体"/>
          <w:b/>
          <w:sz w:val="22"/>
        </w:rPr>
        <w:t>附件</w:t>
      </w:r>
      <w:r>
        <w:rPr>
          <w:rFonts w:ascii="宋体" w:hAnsi="宋体"/>
          <w:b/>
          <w:sz w:val="22"/>
        </w:rPr>
        <w:t>8</w:t>
      </w:r>
      <w:r>
        <w:rPr>
          <w:rFonts w:hint="eastAsia" w:ascii="宋体" w:hAnsi="宋体"/>
          <w:b/>
          <w:sz w:val="22"/>
        </w:rPr>
        <w:t>：甲方认为需要增加的其他内容</w:t>
      </w:r>
    </w:p>
    <w:p/>
    <w:p>
      <w:pPr>
        <w:pStyle w:val="21"/>
        <w:spacing w:line="360" w:lineRule="exact"/>
        <w:ind w:firstLine="420"/>
        <w:rPr>
          <w:rFonts w:ascii="Calibri" w:hAnsi="Calibri" w:cs="Calibri"/>
          <w:bCs/>
          <w:szCs w:val="32"/>
        </w:rPr>
        <w:sectPr>
          <w:headerReference r:id="rId7" w:type="first"/>
          <w:pgSz w:w="11906" w:h="16838"/>
          <w:pgMar w:top="1134" w:right="1247" w:bottom="1134" w:left="1247" w:header="851" w:footer="1134" w:gutter="0"/>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14"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4"/>
    </w:p>
    <w:p>
      <w:pPr>
        <w:pStyle w:val="21"/>
        <w:spacing w:line="360" w:lineRule="exact"/>
        <w:ind w:firstLine="420"/>
        <w:rPr>
          <w:rFonts w:hAnsi="宋体" w:cs="Calibri"/>
          <w:bCs/>
          <w:color w:val="000000"/>
          <w:sz w:val="22"/>
          <w:szCs w:val="22"/>
        </w:rPr>
      </w:pPr>
      <w:r>
        <w:rPr>
          <w:rFonts w:hint="eastAsia" w:hAnsi="宋体" w:cs="Calibri"/>
          <w:bCs/>
          <w:color w:val="000000"/>
          <w:sz w:val="22"/>
          <w:szCs w:val="22"/>
        </w:rPr>
        <w:t>为保证本招标项目评标工作顺利进行，根据《中华人民共和国招标投标法》、《中华人民共和国招标投标法实施条例》、《评标委员会和评标方法暂行规定》（原国家发展计划委员会、建设部等七部委</w:t>
      </w:r>
      <w:r>
        <w:rPr>
          <w:rFonts w:hAnsi="宋体" w:cs="Calibri"/>
          <w:bCs/>
          <w:color w:val="000000"/>
          <w:sz w:val="22"/>
          <w:szCs w:val="22"/>
        </w:rPr>
        <w:t xml:space="preserve"> </w:t>
      </w:r>
      <w:r>
        <w:rPr>
          <w:rFonts w:hint="eastAsia" w:hAnsi="宋体" w:cs="Calibri"/>
          <w:bCs/>
          <w:color w:val="000000"/>
          <w:sz w:val="22"/>
          <w:szCs w:val="22"/>
        </w:rPr>
        <w:t>第</w:t>
      </w:r>
      <w:r>
        <w:rPr>
          <w:rFonts w:hAnsi="宋体" w:cs="Calibri"/>
          <w:bCs/>
          <w:color w:val="000000"/>
          <w:sz w:val="22"/>
          <w:szCs w:val="22"/>
        </w:rPr>
        <w:t>12</w:t>
      </w:r>
      <w:r>
        <w:rPr>
          <w:rFonts w:hint="eastAsia" w:hAnsi="宋体" w:cs="Calibri"/>
          <w:bCs/>
          <w:color w:val="000000"/>
          <w:sz w:val="22"/>
          <w:szCs w:val="22"/>
        </w:rPr>
        <w:t>号令）等有关规定，制定本办法。</w:t>
      </w:r>
    </w:p>
    <w:p>
      <w:pPr>
        <w:pStyle w:val="21"/>
        <w:spacing w:line="360" w:lineRule="exact"/>
        <w:rPr>
          <w:rFonts w:hAnsi="宋体" w:cs="Calibri"/>
          <w:b/>
          <w:bCs/>
          <w:color w:val="000000"/>
          <w:sz w:val="22"/>
          <w:szCs w:val="22"/>
        </w:rPr>
      </w:pPr>
      <w:r>
        <w:rPr>
          <w:rFonts w:hint="eastAsia" w:hAnsi="宋体" w:cs="Calibri"/>
          <w:b/>
          <w:bCs/>
          <w:color w:val="000000"/>
          <w:sz w:val="22"/>
          <w:szCs w:val="22"/>
        </w:rPr>
        <w:t>一、评标原则</w:t>
      </w:r>
    </w:p>
    <w:p>
      <w:pPr>
        <w:pStyle w:val="21"/>
        <w:spacing w:line="360" w:lineRule="exact"/>
        <w:ind w:firstLine="420"/>
        <w:rPr>
          <w:rFonts w:hAnsi="宋体" w:cs="Calibri"/>
          <w:color w:val="000000"/>
          <w:sz w:val="22"/>
          <w:szCs w:val="22"/>
        </w:rPr>
      </w:pPr>
      <w:r>
        <w:rPr>
          <w:rFonts w:hint="eastAsia" w:hAnsi="宋体" w:cs="Calibri"/>
          <w:bCs/>
          <w:color w:val="000000"/>
          <w:sz w:val="22"/>
          <w:szCs w:val="22"/>
        </w:rPr>
        <w:t>本次评标采用</w:t>
      </w:r>
      <w:r>
        <w:rPr>
          <w:rFonts w:hint="eastAsia" w:hAnsi="宋体" w:cs="Calibri"/>
          <w:b/>
          <w:bCs/>
          <w:color w:val="000000"/>
          <w:sz w:val="22"/>
          <w:szCs w:val="22"/>
        </w:rPr>
        <w:t>综合评估法</w:t>
      </w:r>
      <w:r>
        <w:rPr>
          <w:rFonts w:hint="eastAsia" w:hAnsi="宋体" w:cs="Calibri"/>
          <w:bCs/>
          <w:color w:val="000000"/>
          <w:sz w:val="22"/>
          <w:szCs w:val="22"/>
        </w:rPr>
        <w:t>，评标应遵循公平、公正、科学、择优的原则。</w:t>
      </w:r>
    </w:p>
    <w:p>
      <w:pPr>
        <w:pStyle w:val="21"/>
        <w:spacing w:line="360" w:lineRule="exact"/>
        <w:rPr>
          <w:rFonts w:hAnsi="宋体" w:cs="Calibri"/>
          <w:b/>
          <w:bCs/>
          <w:color w:val="000000"/>
          <w:sz w:val="22"/>
          <w:szCs w:val="22"/>
        </w:rPr>
      </w:pPr>
      <w:r>
        <w:rPr>
          <w:rFonts w:hint="eastAsia" w:hAnsi="宋体" w:cs="Calibri"/>
          <w:b/>
          <w:bCs/>
          <w:color w:val="000000"/>
          <w:sz w:val="22"/>
          <w:szCs w:val="22"/>
        </w:rPr>
        <w:t>二、评标组织</w:t>
      </w:r>
    </w:p>
    <w:p>
      <w:pPr>
        <w:pStyle w:val="21"/>
        <w:spacing w:line="360" w:lineRule="exact"/>
        <w:ind w:firstLine="420"/>
        <w:rPr>
          <w:rFonts w:hAnsi="宋体" w:cs="Calibri"/>
          <w:color w:val="000000"/>
          <w:sz w:val="22"/>
          <w:szCs w:val="22"/>
        </w:rPr>
      </w:pPr>
      <w:r>
        <w:rPr>
          <w:rFonts w:hint="eastAsia" w:hAnsi="宋体" w:cs="Calibri"/>
          <w:color w:val="000000"/>
          <w:sz w:val="22"/>
          <w:szCs w:val="22"/>
        </w:rPr>
        <w:t>评标工作由招标人依法组建的评标委员会（小组）负责。评标委员会成员为</w:t>
      </w:r>
      <w:r>
        <w:rPr>
          <w:rFonts w:hAnsi="宋体" w:cs="Calibri"/>
          <w:color w:val="000000"/>
          <w:sz w:val="22"/>
          <w:szCs w:val="22"/>
        </w:rPr>
        <w:t>3</w:t>
      </w:r>
      <w:r>
        <w:rPr>
          <w:rFonts w:hint="eastAsia" w:hAnsi="宋体" w:cs="Calibri"/>
          <w:color w:val="000000"/>
          <w:sz w:val="22"/>
          <w:szCs w:val="22"/>
        </w:rPr>
        <w:t>人及以上单数，</w:t>
      </w:r>
      <w:r>
        <w:rPr>
          <w:rFonts w:hint="eastAsia" w:hAnsi="宋体"/>
          <w:color w:val="000000"/>
          <w:sz w:val="22"/>
          <w:szCs w:val="22"/>
        </w:rPr>
        <w:t>评标委员会由招标人自行组建。</w:t>
      </w:r>
    </w:p>
    <w:p>
      <w:pPr>
        <w:pStyle w:val="21"/>
        <w:spacing w:line="360" w:lineRule="exact"/>
        <w:rPr>
          <w:rFonts w:hAnsi="宋体" w:cs="Calibri"/>
          <w:b/>
          <w:bCs/>
          <w:color w:val="000000"/>
          <w:sz w:val="22"/>
          <w:szCs w:val="22"/>
        </w:rPr>
      </w:pPr>
      <w:r>
        <w:rPr>
          <w:rFonts w:hint="eastAsia" w:hAnsi="宋体" w:cs="Calibri"/>
          <w:b/>
          <w:bCs/>
          <w:color w:val="000000"/>
          <w:sz w:val="22"/>
          <w:szCs w:val="22"/>
        </w:rPr>
        <w:t>三、投标文件的评审</w:t>
      </w:r>
    </w:p>
    <w:p>
      <w:pPr>
        <w:pStyle w:val="21"/>
        <w:spacing w:line="360" w:lineRule="exact"/>
        <w:ind w:firstLine="442" w:firstLineChars="200"/>
        <w:rPr>
          <w:rFonts w:hAnsi="宋体" w:cs="Calibri"/>
          <w:b/>
          <w:color w:val="000000"/>
          <w:sz w:val="22"/>
          <w:szCs w:val="22"/>
        </w:rPr>
      </w:pPr>
      <w:r>
        <w:rPr>
          <w:rFonts w:hAnsi="宋体" w:cs="Calibri"/>
          <w:b/>
          <w:color w:val="000000"/>
          <w:sz w:val="22"/>
          <w:szCs w:val="22"/>
        </w:rPr>
        <w:t xml:space="preserve">3.1 </w:t>
      </w:r>
      <w:r>
        <w:rPr>
          <w:rFonts w:hint="eastAsia" w:hAnsi="宋体" w:cs="Calibri"/>
          <w:b/>
          <w:color w:val="000000"/>
          <w:sz w:val="22"/>
          <w:szCs w:val="22"/>
        </w:rPr>
        <w:t>符合性评审</w:t>
      </w:r>
    </w:p>
    <w:p>
      <w:pPr>
        <w:tabs>
          <w:tab w:val="left" w:pos="709"/>
        </w:tabs>
        <w:snapToGrid w:val="0"/>
        <w:spacing w:line="360" w:lineRule="exact"/>
        <w:ind w:firstLine="444" w:firstLineChars="202"/>
        <w:rPr>
          <w:rFonts w:ascii="宋体" w:cs="Calibri"/>
          <w:bCs/>
          <w:color w:val="000000"/>
          <w:kern w:val="0"/>
          <w:sz w:val="22"/>
        </w:rPr>
      </w:pPr>
      <w:r>
        <w:rPr>
          <w:rFonts w:ascii="宋体" w:hAnsi="宋体" w:cs="Calibri"/>
          <w:bCs/>
          <w:color w:val="000000"/>
          <w:kern w:val="0"/>
          <w:sz w:val="22"/>
        </w:rPr>
        <w:t>3.1.1</w:t>
      </w:r>
      <w:r>
        <w:rPr>
          <w:rFonts w:hint="eastAsia" w:ascii="宋体" w:hAnsi="宋体" w:cs="Calibri"/>
          <w:bCs/>
          <w:color w:val="000000"/>
          <w:kern w:val="0"/>
          <w:sz w:val="22"/>
        </w:rPr>
        <w:t>评标委员会应依照招标文件的要求和规定首先对投标人的投标资格和投标文件进行符合性审查，</w:t>
      </w:r>
      <w:r>
        <w:rPr>
          <w:rFonts w:hint="eastAsia" w:ascii="宋体" w:hAnsi="宋体" w:cs="Calibri"/>
          <w:b/>
          <w:color w:val="000000"/>
          <w:kern w:val="0"/>
          <w:sz w:val="22"/>
        </w:rPr>
        <w:t>审查过程中评标委员会可以要求投标人提交下列审查项所需的有关证明和证件的原件，以便核验。</w:t>
      </w:r>
      <w:r>
        <w:rPr>
          <w:rFonts w:hint="eastAsia" w:ascii="宋体" w:hAnsi="宋体" w:cs="Calibri"/>
          <w:bCs/>
          <w:color w:val="000000"/>
          <w:kern w:val="0"/>
          <w:sz w:val="22"/>
        </w:rPr>
        <w:t>投标文件如存在以下情况之一的，经评标委员会三分之二以上的成员认定，符合性审查不予通过，</w:t>
      </w:r>
      <w:r>
        <w:rPr>
          <w:rFonts w:hint="eastAsia" w:ascii="宋体" w:hAnsi="宋体" w:cs="Calibri"/>
          <w:b/>
          <w:bCs/>
          <w:color w:val="000000"/>
          <w:kern w:val="0"/>
          <w:sz w:val="22"/>
        </w:rPr>
        <w:t>作否决投标处理，</w:t>
      </w:r>
      <w:r>
        <w:rPr>
          <w:rFonts w:hint="eastAsia" w:ascii="宋体" w:hAnsi="宋体" w:cs="Calibri"/>
          <w:bCs/>
          <w:color w:val="000000"/>
          <w:kern w:val="0"/>
          <w:sz w:val="22"/>
        </w:rPr>
        <w:t>不再进行详细评审：</w:t>
      </w:r>
    </w:p>
    <w:p>
      <w:pPr>
        <w:spacing w:line="360" w:lineRule="exact"/>
        <w:ind w:firstLine="471" w:firstLineChars="214"/>
        <w:rPr>
          <w:rFonts w:ascii="宋体" w:cs="Calibri"/>
          <w:color w:val="000000"/>
          <w:sz w:val="22"/>
        </w:rPr>
      </w:pPr>
      <w:r>
        <w:rPr>
          <w:rFonts w:ascii="宋体" w:hAnsi="宋体" w:cs="Calibri"/>
          <w:color w:val="000000"/>
          <w:sz w:val="22"/>
        </w:rPr>
        <w:t>1</w:t>
      </w:r>
      <w:r>
        <w:rPr>
          <w:rFonts w:hint="eastAsia" w:ascii="宋体" w:hAnsi="宋体" w:cs="Calibri"/>
          <w:color w:val="000000"/>
          <w:sz w:val="22"/>
        </w:rPr>
        <w:t>、</w:t>
      </w:r>
      <w:r>
        <w:rPr>
          <w:rFonts w:hint="eastAsia" w:ascii="宋体" w:hAnsi="宋体" w:cs="Calibri"/>
          <w:bCs/>
          <w:color w:val="000000"/>
          <w:kern w:val="0"/>
          <w:sz w:val="22"/>
        </w:rPr>
        <w:t>投标人的投标资格不满足国家有关规定或招标文件载明的投标资格条件的；</w:t>
      </w:r>
    </w:p>
    <w:p>
      <w:pPr>
        <w:spacing w:line="360" w:lineRule="exact"/>
        <w:ind w:firstLine="471" w:firstLineChars="214"/>
        <w:rPr>
          <w:rFonts w:ascii="宋体" w:cs="Calibri"/>
          <w:color w:val="000000"/>
          <w:sz w:val="22"/>
        </w:rPr>
      </w:pPr>
      <w:r>
        <w:rPr>
          <w:rFonts w:ascii="宋体" w:hAnsi="宋体" w:cs="Calibri"/>
          <w:color w:val="000000"/>
          <w:sz w:val="22"/>
        </w:rPr>
        <w:t>2</w:t>
      </w:r>
      <w:r>
        <w:rPr>
          <w:rFonts w:hint="eastAsia" w:ascii="宋体" w:hAnsi="宋体" w:cs="Calibri"/>
          <w:color w:val="000000"/>
          <w:sz w:val="22"/>
        </w:rPr>
        <w:t>、投标文件未按招标文件的要求签署和盖章的（仅限于单位印章和法定代表人或其委托代理人签字或盖章）；</w:t>
      </w:r>
    </w:p>
    <w:p>
      <w:pPr>
        <w:spacing w:line="360" w:lineRule="exact"/>
        <w:ind w:firstLine="471" w:firstLineChars="214"/>
        <w:rPr>
          <w:rFonts w:ascii="宋体" w:cs="Calibri"/>
          <w:color w:val="000000"/>
          <w:sz w:val="22"/>
        </w:rPr>
      </w:pPr>
      <w:r>
        <w:rPr>
          <w:rFonts w:ascii="宋体" w:hAnsi="宋体" w:cs="Calibri"/>
          <w:color w:val="000000"/>
          <w:sz w:val="22"/>
        </w:rPr>
        <w:t>3</w:t>
      </w:r>
      <w:r>
        <w:rPr>
          <w:rFonts w:hint="eastAsia" w:ascii="宋体" w:hAnsi="宋体" w:cs="Calibri"/>
          <w:color w:val="000000"/>
          <w:sz w:val="22"/>
        </w:rPr>
        <w:t>、投标文件未按规定的格式填写，内容不全或关键字迹模糊、无法辨认的；</w:t>
      </w:r>
    </w:p>
    <w:p>
      <w:pPr>
        <w:spacing w:line="360" w:lineRule="exact"/>
        <w:ind w:firstLine="471" w:firstLineChars="214"/>
        <w:rPr>
          <w:rFonts w:ascii="宋体" w:cs="Calibri"/>
          <w:color w:val="000000"/>
          <w:sz w:val="22"/>
        </w:rPr>
      </w:pPr>
      <w:r>
        <w:rPr>
          <w:rFonts w:ascii="宋体" w:hAnsi="宋体" w:cs="Calibri"/>
          <w:color w:val="000000"/>
          <w:sz w:val="22"/>
        </w:rPr>
        <w:t>4</w:t>
      </w:r>
      <w:r>
        <w:rPr>
          <w:rFonts w:hint="eastAsia" w:ascii="宋体" w:hAnsi="宋体" w:cs="Calibri"/>
          <w:color w:val="000000"/>
          <w:sz w:val="22"/>
        </w:rPr>
        <w:t>、投标人递交两份或多份内容不同的投标文件，或在一份投标文件中对同一招标项目报有两个或多个报价，且未声明哪一个有效；</w:t>
      </w:r>
    </w:p>
    <w:p>
      <w:pPr>
        <w:spacing w:line="360" w:lineRule="exact"/>
        <w:ind w:firstLine="471" w:firstLineChars="214"/>
        <w:rPr>
          <w:rFonts w:ascii="宋体" w:cs="Calibri"/>
          <w:color w:val="000000"/>
          <w:sz w:val="22"/>
        </w:rPr>
      </w:pPr>
      <w:r>
        <w:rPr>
          <w:rFonts w:ascii="宋体" w:hAnsi="宋体" w:cs="Calibri"/>
          <w:color w:val="000000"/>
          <w:sz w:val="22"/>
        </w:rPr>
        <w:t>5</w:t>
      </w:r>
      <w:r>
        <w:rPr>
          <w:rFonts w:hint="eastAsia" w:ascii="宋体" w:hAnsi="宋体" w:cs="Calibri"/>
          <w:color w:val="000000"/>
          <w:sz w:val="22"/>
        </w:rPr>
        <w:t>、供货期不满足招标文件要求的；</w:t>
      </w:r>
    </w:p>
    <w:p>
      <w:pPr>
        <w:spacing w:line="360" w:lineRule="exact"/>
        <w:ind w:firstLine="471" w:firstLineChars="214"/>
        <w:rPr>
          <w:rFonts w:ascii="宋体" w:cs="Calibri"/>
          <w:color w:val="000000"/>
          <w:sz w:val="22"/>
        </w:rPr>
      </w:pPr>
      <w:r>
        <w:rPr>
          <w:rFonts w:ascii="宋体" w:hAnsi="宋体" w:cs="Calibri"/>
          <w:color w:val="000000"/>
          <w:sz w:val="22"/>
        </w:rPr>
        <w:t>6</w:t>
      </w:r>
      <w:r>
        <w:rPr>
          <w:rFonts w:hint="eastAsia" w:ascii="宋体" w:hAnsi="宋体" w:cs="Calibri"/>
          <w:color w:val="000000"/>
          <w:sz w:val="22"/>
        </w:rPr>
        <w:t>、不</w:t>
      </w:r>
      <w:r>
        <w:rPr>
          <w:rFonts w:hint="eastAsia" w:ascii="宋体" w:hAnsi="宋体" w:cs="Calibri"/>
          <w:color w:val="000000"/>
          <w:kern w:val="0"/>
          <w:sz w:val="22"/>
        </w:rPr>
        <w:t>响应招标文件规定的实质性要求（包括具体条文前用</w:t>
      </w:r>
      <w:r>
        <w:rPr>
          <w:rFonts w:hint="eastAsia" w:ascii="宋体" w:cs="Calibri"/>
          <w:color w:val="000000"/>
          <w:kern w:val="0"/>
          <w:sz w:val="22"/>
        </w:rPr>
        <w:t>“★”</w:t>
      </w:r>
      <w:r>
        <w:rPr>
          <w:rFonts w:hint="eastAsia" w:ascii="宋体" w:hAnsi="宋体" w:cs="Calibri"/>
          <w:color w:val="000000"/>
          <w:kern w:val="0"/>
          <w:sz w:val="22"/>
        </w:rPr>
        <w:t>标示的）</w:t>
      </w:r>
    </w:p>
    <w:p>
      <w:pPr>
        <w:spacing w:line="360" w:lineRule="exact"/>
        <w:ind w:firstLine="471" w:firstLineChars="214"/>
        <w:rPr>
          <w:rFonts w:ascii="宋体" w:cs="Calibri"/>
          <w:color w:val="000000"/>
          <w:sz w:val="22"/>
        </w:rPr>
      </w:pPr>
      <w:r>
        <w:rPr>
          <w:rFonts w:ascii="宋体" w:hAnsi="宋体" w:cs="Calibri"/>
          <w:color w:val="000000"/>
          <w:sz w:val="22"/>
        </w:rPr>
        <w:t>7</w:t>
      </w:r>
      <w:r>
        <w:rPr>
          <w:rFonts w:hint="eastAsia" w:ascii="宋体" w:hAnsi="宋体" w:cs="Calibri"/>
          <w:color w:val="000000"/>
          <w:sz w:val="22"/>
        </w:rPr>
        <w:t>、投标人不以自己的名义或未按招标文件的要求提供投标保证金或提供的保证金有缺陷而不能接受的；</w:t>
      </w:r>
    </w:p>
    <w:p>
      <w:pPr>
        <w:spacing w:line="360" w:lineRule="exact"/>
        <w:ind w:firstLine="471" w:firstLineChars="214"/>
        <w:rPr>
          <w:rFonts w:ascii="宋体" w:cs="Calibri"/>
          <w:color w:val="000000"/>
          <w:sz w:val="22"/>
        </w:rPr>
      </w:pPr>
      <w:r>
        <w:rPr>
          <w:rFonts w:ascii="宋体" w:hAnsi="宋体" w:cs="Calibri"/>
          <w:color w:val="000000"/>
          <w:sz w:val="22"/>
        </w:rPr>
        <w:t>8</w:t>
      </w:r>
      <w:r>
        <w:rPr>
          <w:rFonts w:hint="eastAsia" w:ascii="宋体" w:hAnsi="宋体" w:cs="Calibri"/>
          <w:color w:val="000000"/>
          <w:sz w:val="22"/>
        </w:rPr>
        <w:t>、投标人以他人名义投标、或与他人串通投标、或以行贿手段谋取中标，或弄虚作假的；</w:t>
      </w:r>
    </w:p>
    <w:p>
      <w:pPr>
        <w:spacing w:line="360" w:lineRule="exact"/>
        <w:ind w:firstLine="471" w:firstLineChars="214"/>
        <w:rPr>
          <w:rFonts w:ascii="宋体" w:cs="Calibri"/>
          <w:color w:val="000000"/>
          <w:sz w:val="22"/>
        </w:rPr>
      </w:pPr>
      <w:r>
        <w:rPr>
          <w:rFonts w:ascii="宋体" w:hAnsi="宋体" w:cs="Calibri"/>
          <w:color w:val="000000"/>
          <w:sz w:val="22"/>
        </w:rPr>
        <w:t>9</w:t>
      </w:r>
      <w:r>
        <w:rPr>
          <w:rFonts w:hint="eastAsia" w:ascii="宋体" w:hAnsi="宋体" w:cs="Calibri"/>
          <w:color w:val="000000"/>
          <w:sz w:val="22"/>
        </w:rPr>
        <w:t>、存在法律、法规、规章规定的其它无效投标情况的。</w:t>
      </w:r>
    </w:p>
    <w:p>
      <w:pPr>
        <w:spacing w:line="360" w:lineRule="exact"/>
        <w:ind w:firstLine="471" w:firstLineChars="214"/>
        <w:rPr>
          <w:rFonts w:ascii="宋体" w:cs="Calibri"/>
          <w:color w:val="000000"/>
          <w:sz w:val="22"/>
        </w:rPr>
      </w:pPr>
      <w:r>
        <w:rPr>
          <w:rFonts w:hint="eastAsia" w:ascii="宋体" w:cs="Calibri"/>
          <w:color w:val="000000"/>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tabs>
          <w:tab w:val="left" w:pos="709"/>
        </w:tabs>
        <w:snapToGrid w:val="0"/>
        <w:spacing w:line="360" w:lineRule="exact"/>
        <w:ind w:firstLine="444" w:firstLineChars="202"/>
        <w:rPr>
          <w:rFonts w:ascii="宋体" w:cs="Calibri"/>
          <w:b/>
          <w:color w:val="000000"/>
          <w:sz w:val="22"/>
        </w:rPr>
      </w:pPr>
      <w:r>
        <w:rPr>
          <w:rFonts w:ascii="宋体" w:hAnsi="宋体" w:cs="Calibri"/>
          <w:b/>
          <w:color w:val="000000"/>
          <w:sz w:val="22"/>
        </w:rPr>
        <w:t xml:space="preserve">3.1.2 </w:t>
      </w:r>
      <w:r>
        <w:rPr>
          <w:rFonts w:hint="eastAsia" w:ascii="宋体" w:hAnsi="宋体" w:cs="Calibri"/>
          <w:b/>
          <w:color w:val="000000"/>
          <w:sz w:val="22"/>
        </w:rPr>
        <w:t>报价算术性修正</w:t>
      </w:r>
    </w:p>
    <w:p>
      <w:pPr>
        <w:pStyle w:val="21"/>
        <w:spacing w:line="360" w:lineRule="exact"/>
        <w:ind w:firstLine="440" w:firstLineChars="200"/>
        <w:rPr>
          <w:rFonts w:hAnsi="宋体" w:cs="Calibri"/>
          <w:color w:val="000000"/>
          <w:sz w:val="22"/>
          <w:szCs w:val="22"/>
        </w:rPr>
      </w:pPr>
      <w:r>
        <w:rPr>
          <w:rFonts w:hint="eastAsia" w:hAnsi="宋体" w:cs="Calibri"/>
          <w:color w:val="000000"/>
          <w:sz w:val="22"/>
          <w:szCs w:val="22"/>
        </w:rPr>
        <w:t>评标委员会按以下原则对通过符合性审查的投标文件报价进行算术性修正：</w:t>
      </w:r>
    </w:p>
    <w:p>
      <w:pPr>
        <w:pStyle w:val="21"/>
        <w:numPr>
          <w:ilvl w:val="0"/>
          <w:numId w:val="2"/>
        </w:numPr>
        <w:tabs>
          <w:tab w:val="left" w:pos="780"/>
        </w:tabs>
        <w:adjustRightInd w:val="0"/>
        <w:spacing w:line="360" w:lineRule="exact"/>
        <w:ind w:left="1280" w:leftChars="400" w:hanging="440" w:hangingChars="200"/>
        <w:rPr>
          <w:rFonts w:hAnsi="宋体" w:cs="Calibri"/>
          <w:color w:val="000000"/>
          <w:sz w:val="22"/>
          <w:szCs w:val="22"/>
        </w:rPr>
      </w:pPr>
      <w:r>
        <w:rPr>
          <w:rFonts w:hint="eastAsia" w:hAnsi="宋体" w:cs="Calibri"/>
          <w:color w:val="000000"/>
          <w:sz w:val="22"/>
          <w:szCs w:val="22"/>
        </w:rPr>
        <w:t>投标文件中的大写金额与小写金额不一致的，以大写金额为准；</w:t>
      </w:r>
    </w:p>
    <w:p>
      <w:pPr>
        <w:pStyle w:val="21"/>
        <w:numPr>
          <w:ilvl w:val="0"/>
          <w:numId w:val="2"/>
        </w:numPr>
        <w:tabs>
          <w:tab w:val="left" w:pos="780"/>
        </w:tabs>
        <w:adjustRightInd w:val="0"/>
        <w:spacing w:line="360" w:lineRule="exact"/>
        <w:ind w:left="1280" w:leftChars="400" w:hanging="440" w:hangingChars="200"/>
        <w:rPr>
          <w:rFonts w:hAnsi="宋体" w:cs="Calibri"/>
          <w:color w:val="000000"/>
          <w:sz w:val="22"/>
          <w:szCs w:val="22"/>
        </w:rPr>
      </w:pPr>
      <w:r>
        <w:rPr>
          <w:rFonts w:hint="eastAsia" w:hAnsi="宋体" w:cs="Calibri"/>
          <w:color w:val="000000"/>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color w:val="000000"/>
          <w:sz w:val="22"/>
          <w:szCs w:val="22"/>
        </w:rPr>
      </w:pPr>
      <w:r>
        <w:rPr>
          <w:rFonts w:hint="eastAsia" w:hAnsi="宋体" w:cs="Calibri"/>
          <w:color w:val="000000"/>
          <w:sz w:val="22"/>
          <w:szCs w:val="22"/>
        </w:rPr>
        <w:t>★修正的价格经投标人书面确认后具有约束力。投标人不接受修正价格的，其投标作</w:t>
      </w:r>
      <w:r>
        <w:rPr>
          <w:rFonts w:hint="eastAsia" w:hAnsi="宋体" w:cs="Calibri"/>
          <w:b/>
          <w:color w:val="000000"/>
          <w:sz w:val="22"/>
          <w:szCs w:val="22"/>
        </w:rPr>
        <w:t>否决投标处理。</w:t>
      </w:r>
    </w:p>
    <w:p>
      <w:pPr>
        <w:pStyle w:val="21"/>
        <w:spacing w:line="360" w:lineRule="exact"/>
        <w:ind w:firstLine="440" w:firstLineChars="200"/>
        <w:rPr>
          <w:rFonts w:hAnsi="宋体" w:cs="Calibri"/>
          <w:b/>
          <w:color w:val="000000"/>
          <w:sz w:val="22"/>
          <w:szCs w:val="22"/>
        </w:rPr>
      </w:pPr>
      <w:r>
        <w:rPr>
          <w:rFonts w:hint="eastAsia" w:hAnsi="宋体" w:cs="Calibri"/>
          <w:color w:val="000000"/>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color w:val="000000"/>
          <w:sz w:val="22"/>
          <w:szCs w:val="22"/>
        </w:rPr>
      </w:pPr>
      <w:r>
        <w:rPr>
          <w:rFonts w:hAnsi="宋体" w:cs="Calibri"/>
          <w:b/>
          <w:color w:val="000000"/>
          <w:sz w:val="22"/>
          <w:szCs w:val="22"/>
        </w:rPr>
        <w:t xml:space="preserve">3.2 </w:t>
      </w:r>
      <w:r>
        <w:rPr>
          <w:rFonts w:hint="eastAsia" w:hAnsi="宋体" w:cs="Calibri"/>
          <w:b/>
          <w:color w:val="000000"/>
          <w:sz w:val="22"/>
          <w:szCs w:val="22"/>
        </w:rPr>
        <w:t>投标文件的澄清和补正</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 xml:space="preserve">3.2.1 </w:t>
      </w:r>
      <w:r>
        <w:rPr>
          <w:rFonts w:hint="eastAsia" w:hAnsi="宋体" w:cs="Calibri"/>
          <w:color w:val="000000"/>
          <w:sz w:val="22"/>
          <w:szCs w:val="22"/>
        </w:rPr>
        <w:t>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3.2.2</w:t>
      </w:r>
      <w:r>
        <w:rPr>
          <w:rFonts w:hint="eastAsia" w:hAnsi="宋体" w:cs="Calibri"/>
          <w:color w:val="000000"/>
          <w:sz w:val="22"/>
          <w:szCs w:val="22"/>
        </w:rPr>
        <w:t>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 xml:space="preserve">3.2.3 </w:t>
      </w:r>
      <w:r>
        <w:rPr>
          <w:rFonts w:hint="eastAsia" w:hAnsi="宋体" w:cs="Calibri"/>
          <w:color w:val="000000"/>
          <w:sz w:val="22"/>
          <w:szCs w:val="22"/>
        </w:rPr>
        <w:t>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b/>
          <w:color w:val="000000"/>
          <w:sz w:val="22"/>
        </w:rPr>
      </w:pPr>
      <w:r>
        <w:rPr>
          <w:rFonts w:ascii="宋体" w:hAnsi="宋体" w:cs="Calibri"/>
          <w:b/>
          <w:color w:val="000000"/>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w:t>
      </w:r>
      <w:r>
        <w:rPr>
          <w:rFonts w:hAnsi="宋体" w:cs="Calibri"/>
          <w:color w:val="000000"/>
          <w:sz w:val="22"/>
          <w:szCs w:val="22"/>
        </w:rPr>
        <w:t>1</w:t>
      </w:r>
      <w:r>
        <w:rPr>
          <w:rFonts w:hint="eastAsia" w:hAnsi="宋体" w:cs="Calibri"/>
          <w:color w:val="000000"/>
          <w:sz w:val="22"/>
          <w:szCs w:val="22"/>
        </w:rPr>
        <w:t>位小数。若评标委员会的评分表中计分不在分值范围内的，则该评分表无效。</w:t>
      </w:r>
    </w:p>
    <w:p>
      <w:pPr>
        <w:pStyle w:val="21"/>
        <w:adjustRightInd w:val="0"/>
        <w:snapToGrid w:val="0"/>
        <w:spacing w:line="360" w:lineRule="exact"/>
        <w:ind w:firstLine="442" w:firstLineChars="200"/>
        <w:rPr>
          <w:rFonts w:hAnsi="宋体" w:cs="Calibri"/>
          <w:color w:val="000000"/>
          <w:sz w:val="22"/>
          <w:szCs w:val="22"/>
        </w:rPr>
      </w:pPr>
      <w:r>
        <w:rPr>
          <w:rFonts w:hint="eastAsia" w:hAnsi="宋体"/>
          <w:b/>
          <w:color w:val="000000"/>
          <w:sz w:val="22"/>
          <w:szCs w:val="22"/>
        </w:rPr>
        <w:t>每个投标人最终得分</w:t>
      </w:r>
      <w:r>
        <w:rPr>
          <w:rFonts w:hAnsi="宋体"/>
          <w:b/>
          <w:color w:val="000000"/>
          <w:sz w:val="22"/>
          <w:szCs w:val="22"/>
        </w:rPr>
        <w:t>=</w:t>
      </w:r>
      <w:r>
        <w:rPr>
          <w:rFonts w:hint="eastAsia" w:hAnsi="宋体"/>
          <w:b/>
          <w:color w:val="000000"/>
          <w:sz w:val="22"/>
          <w:szCs w:val="22"/>
        </w:rPr>
        <w:t>商务报价分</w:t>
      </w:r>
      <w:r>
        <w:rPr>
          <w:rFonts w:hAnsi="宋体"/>
          <w:b/>
          <w:color w:val="000000"/>
          <w:sz w:val="22"/>
          <w:szCs w:val="22"/>
        </w:rPr>
        <w:t>+</w:t>
      </w:r>
      <w:r>
        <w:rPr>
          <w:rFonts w:hint="eastAsia" w:hAnsi="宋体"/>
          <w:b/>
          <w:color w:val="000000"/>
          <w:sz w:val="22"/>
          <w:szCs w:val="22"/>
        </w:rPr>
        <w:t>技术分</w:t>
      </w:r>
    </w:p>
    <w:p>
      <w:pPr>
        <w:pStyle w:val="21"/>
        <w:adjustRightInd w:val="0"/>
        <w:snapToGrid w:val="0"/>
        <w:spacing w:line="360" w:lineRule="exact"/>
        <w:ind w:firstLine="440" w:firstLineChars="200"/>
        <w:rPr>
          <w:rFonts w:hAnsi="宋体" w:cs="Arial"/>
          <w:b/>
          <w:color w:val="000000"/>
          <w:sz w:val="22"/>
          <w:szCs w:val="22"/>
        </w:rPr>
      </w:pPr>
      <w:r>
        <w:rPr>
          <w:rFonts w:hAnsi="宋体" w:cs="Calibri"/>
          <w:color w:val="000000"/>
          <w:sz w:val="22"/>
          <w:szCs w:val="22"/>
        </w:rPr>
        <w:t>3.3.1</w:t>
      </w:r>
      <w:r>
        <w:rPr>
          <w:rFonts w:hint="eastAsia" w:hAnsi="宋体" w:cs="Calibri"/>
          <w:color w:val="000000"/>
          <w:sz w:val="22"/>
          <w:szCs w:val="22"/>
        </w:rPr>
        <w:t>商务报价分</w:t>
      </w:r>
      <w:r>
        <w:rPr>
          <w:rFonts w:hAnsi="宋体" w:cs="Calibri"/>
          <w:color w:val="000000"/>
          <w:sz w:val="22"/>
          <w:szCs w:val="22"/>
        </w:rPr>
        <w:t>30-70</w:t>
      </w:r>
      <w:r>
        <w:rPr>
          <w:rFonts w:hint="eastAsia" w:hAnsi="宋体" w:cs="Calibri"/>
          <w:color w:val="000000"/>
          <w:sz w:val="22"/>
          <w:szCs w:val="22"/>
        </w:rPr>
        <w:t>分</w:t>
      </w:r>
    </w:p>
    <w:p>
      <w:pPr>
        <w:pStyle w:val="21"/>
        <w:adjustRightInd w:val="0"/>
        <w:snapToGrid w:val="0"/>
        <w:spacing w:line="360" w:lineRule="exact"/>
        <w:ind w:firstLine="440" w:firstLineChars="200"/>
        <w:rPr>
          <w:rFonts w:hAnsi="宋体"/>
          <w:b/>
          <w:color w:val="000000"/>
          <w:sz w:val="22"/>
          <w:szCs w:val="22"/>
          <w:u w:val="single"/>
        </w:rPr>
      </w:pPr>
      <w:r>
        <w:rPr>
          <w:rFonts w:hint="eastAsia" w:hAnsi="宋体"/>
          <w:color w:val="000000"/>
          <w:sz w:val="22"/>
          <w:szCs w:val="22"/>
        </w:rPr>
        <w:t>报价评分应在投标报价响应招标文件要求的基础上，</w:t>
      </w:r>
      <w:r>
        <w:rPr>
          <w:rFonts w:hint="eastAsia" w:hAnsi="宋体"/>
          <w:b/>
          <w:color w:val="FF0000"/>
          <w:sz w:val="22"/>
          <w:szCs w:val="22"/>
        </w:rPr>
        <w:t>按照不含税价格作为评标价进行商务评审。</w:t>
      </w:r>
      <w:r>
        <w:rPr>
          <w:rFonts w:hint="eastAsia" w:hAnsi="宋体"/>
          <w:sz w:val="22"/>
          <w:szCs w:val="22"/>
        </w:rPr>
        <w:t>取所有有效投标报价的算数平均值与次低价的算数平均值作为评标基准价，如有效投标报价的数量小于4个，则评标基准价为所有有效投标报价的算数平均值与最低价的算数平均值。</w:t>
      </w:r>
    </w:p>
    <w:p>
      <w:pPr>
        <w:pStyle w:val="21"/>
        <w:adjustRightInd w:val="0"/>
        <w:snapToGrid w:val="0"/>
        <w:spacing w:line="360" w:lineRule="exact"/>
        <w:ind w:firstLine="440" w:firstLineChars="200"/>
        <w:rPr>
          <w:rFonts w:hAnsi="宋体" w:cs="Calibri"/>
          <w:color w:val="000000"/>
          <w:sz w:val="22"/>
          <w:szCs w:val="22"/>
        </w:rPr>
      </w:pPr>
      <w:r>
        <w:rPr>
          <w:rFonts w:hint="eastAsia" w:hAnsi="宋体"/>
          <w:color w:val="000000"/>
          <w:sz w:val="22"/>
          <w:szCs w:val="22"/>
        </w:rPr>
        <w:t>投标人的评标价等于评标基准价的得</w:t>
      </w:r>
      <w:r>
        <w:rPr>
          <w:rFonts w:hAnsi="宋体"/>
          <w:color w:val="000000"/>
          <w:sz w:val="22"/>
          <w:szCs w:val="22"/>
        </w:rPr>
        <w:t>70</w:t>
      </w:r>
      <w:r>
        <w:rPr>
          <w:rFonts w:hint="eastAsia" w:hAnsi="宋体"/>
          <w:color w:val="000000"/>
          <w:sz w:val="22"/>
          <w:szCs w:val="22"/>
        </w:rPr>
        <w:t>分，每高于评标基准价</w:t>
      </w:r>
      <w:r>
        <w:rPr>
          <w:rFonts w:hAnsi="宋体"/>
          <w:color w:val="000000"/>
          <w:sz w:val="22"/>
          <w:szCs w:val="22"/>
        </w:rPr>
        <w:t>1%</w:t>
      </w:r>
      <w:r>
        <w:rPr>
          <w:rFonts w:hint="eastAsia" w:hAnsi="宋体"/>
          <w:color w:val="000000"/>
          <w:sz w:val="22"/>
          <w:szCs w:val="22"/>
        </w:rPr>
        <w:t>的扣1分，每低于评标基准价</w:t>
      </w:r>
      <w:r>
        <w:rPr>
          <w:rFonts w:hAnsi="宋体"/>
          <w:color w:val="000000"/>
          <w:sz w:val="22"/>
          <w:szCs w:val="22"/>
        </w:rPr>
        <w:t>1%</w:t>
      </w:r>
      <w:r>
        <w:rPr>
          <w:rFonts w:hint="eastAsia" w:hAnsi="宋体"/>
          <w:color w:val="000000"/>
          <w:sz w:val="22"/>
          <w:szCs w:val="22"/>
        </w:rPr>
        <w:t>的扣</w:t>
      </w:r>
      <w:r>
        <w:rPr>
          <w:rFonts w:hAnsi="宋体"/>
          <w:color w:val="000000"/>
          <w:sz w:val="22"/>
          <w:szCs w:val="22"/>
        </w:rPr>
        <w:t>0.</w:t>
      </w:r>
      <w:r>
        <w:rPr>
          <w:rFonts w:hint="eastAsia" w:hAnsi="宋体"/>
          <w:color w:val="000000"/>
          <w:sz w:val="22"/>
          <w:szCs w:val="22"/>
        </w:rPr>
        <w:t>5分（不足</w:t>
      </w:r>
      <w:r>
        <w:rPr>
          <w:rFonts w:hAnsi="宋体"/>
          <w:color w:val="000000"/>
          <w:sz w:val="22"/>
          <w:szCs w:val="22"/>
        </w:rPr>
        <w:t>1</w:t>
      </w:r>
      <w:r>
        <w:rPr>
          <w:rFonts w:hint="eastAsia" w:hAnsi="宋体"/>
          <w:color w:val="000000"/>
          <w:sz w:val="22"/>
          <w:szCs w:val="22"/>
        </w:rPr>
        <w:t>个百分点按插值法计算，小数点后保留二位，四舍五入，商务分最低得分为</w:t>
      </w:r>
      <w:r>
        <w:rPr>
          <w:rFonts w:hAnsi="宋体"/>
          <w:color w:val="000000"/>
          <w:sz w:val="22"/>
          <w:szCs w:val="22"/>
        </w:rPr>
        <w:t>30</w:t>
      </w:r>
      <w:r>
        <w:rPr>
          <w:rFonts w:hint="eastAsia" w:hAnsi="宋体"/>
          <w:color w:val="000000"/>
          <w:sz w:val="22"/>
          <w:szCs w:val="22"/>
        </w:rPr>
        <w:t>分）</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此项由评标委员会集体核实后统一打分。</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2</w:t>
      </w:r>
      <w:r>
        <w:rPr>
          <w:rFonts w:hint="eastAsia" w:hAnsi="宋体" w:cs="Calibri"/>
          <w:color w:val="000000"/>
          <w:sz w:val="22"/>
          <w:szCs w:val="22"/>
        </w:rPr>
        <w:t>、技术评分</w:t>
      </w:r>
      <w:r>
        <w:rPr>
          <w:rFonts w:hAnsi="宋体" w:cs="Calibri"/>
          <w:color w:val="000000"/>
          <w:sz w:val="22"/>
          <w:szCs w:val="22"/>
        </w:rPr>
        <w:t xml:space="preserve"> 0-30</w:t>
      </w:r>
      <w:r>
        <w:rPr>
          <w:rFonts w:hint="eastAsia" w:hAnsi="宋体" w:cs="Calibri"/>
          <w:color w:val="000000"/>
          <w:sz w:val="22"/>
          <w:szCs w:val="22"/>
        </w:rPr>
        <w:t>分</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该评分分值由评标委员会成员独立打分（具体分值设定详见下表），小数点后保留</w:t>
      </w:r>
      <w:r>
        <w:rPr>
          <w:rFonts w:hAnsi="宋体" w:cs="Calibri"/>
          <w:color w:val="000000"/>
          <w:sz w:val="22"/>
          <w:szCs w:val="22"/>
        </w:rPr>
        <w:t>1</w:t>
      </w:r>
      <w:r>
        <w:rPr>
          <w:rFonts w:hint="eastAsia" w:hAnsi="宋体" w:cs="Calibri"/>
          <w:color w:val="000000"/>
          <w:sz w:val="22"/>
          <w:szCs w:val="22"/>
        </w:rPr>
        <w:t>位小数。每个投标人的最终技术得分为评标委员会打分的算术平均值（小数点后保留</w:t>
      </w:r>
      <w:r>
        <w:rPr>
          <w:rFonts w:hAnsi="宋体" w:cs="Calibri"/>
          <w:color w:val="000000"/>
          <w:sz w:val="22"/>
          <w:szCs w:val="22"/>
        </w:rPr>
        <w:t>2</w:t>
      </w:r>
      <w:r>
        <w:rPr>
          <w:rFonts w:hint="eastAsia" w:hAnsi="宋体" w:cs="Calibri"/>
          <w:color w:val="000000"/>
          <w:sz w:val="22"/>
          <w:szCs w:val="22"/>
        </w:rPr>
        <w:t>位，第三位四舍五入）。</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技术评分分值设定标准</w:t>
      </w:r>
    </w:p>
    <w:tbl>
      <w:tblPr>
        <w:tblStyle w:val="53"/>
        <w:tblW w:w="1006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701"/>
        <w:gridCol w:w="590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16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评分因素</w:t>
            </w:r>
          </w:p>
          <w:p>
            <w:pPr>
              <w:snapToGrid w:val="0"/>
              <w:jc w:val="center"/>
              <w:rPr>
                <w:rFonts w:ascii="宋体" w:hAnsi="宋体"/>
                <w:szCs w:val="21"/>
              </w:rPr>
            </w:pPr>
            <w:r>
              <w:rPr>
                <w:rFonts w:hint="eastAsia" w:ascii="宋体" w:hAnsi="宋体"/>
                <w:szCs w:val="21"/>
              </w:rPr>
              <w:t>及分值权重</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评审因素子项</w:t>
            </w:r>
          </w:p>
        </w:tc>
        <w:tc>
          <w:tcPr>
            <w:tcW w:w="59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评分标准</w:t>
            </w:r>
          </w:p>
        </w:tc>
        <w:tc>
          <w:tcPr>
            <w:tcW w:w="8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1606" w:type="dxa"/>
            <w:vMerge w:val="restart"/>
            <w:vAlign w:val="center"/>
          </w:tcPr>
          <w:p>
            <w:pPr>
              <w:jc w:val="center"/>
              <w:rPr>
                <w:rFonts w:ascii="宋体" w:hAnsi="宋体"/>
                <w:szCs w:val="21"/>
              </w:rPr>
            </w:pPr>
            <w:r>
              <w:rPr>
                <w:rFonts w:hint="eastAsia" w:ascii="宋体" w:hAnsi="宋体"/>
                <w:szCs w:val="21"/>
              </w:rPr>
              <w:t>资质</w:t>
            </w:r>
          </w:p>
          <w:p>
            <w:pPr>
              <w:jc w:val="center"/>
              <w:rPr>
                <w:rFonts w:ascii="宋体" w:hAnsi="宋体"/>
                <w:szCs w:val="21"/>
              </w:rPr>
            </w:pPr>
            <w:r>
              <w:rPr>
                <w:rFonts w:hint="eastAsia" w:ascii="宋体" w:hAnsi="宋体"/>
                <w:szCs w:val="21"/>
              </w:rPr>
              <w:t>（4分）</w:t>
            </w:r>
          </w:p>
        </w:tc>
        <w:tc>
          <w:tcPr>
            <w:tcW w:w="1701" w:type="dxa"/>
            <w:tcBorders>
              <w:bottom w:val="single" w:color="auto" w:sz="4" w:space="0"/>
            </w:tcBorders>
            <w:vAlign w:val="center"/>
          </w:tcPr>
          <w:p>
            <w:pPr>
              <w:jc w:val="center"/>
              <w:rPr>
                <w:rFonts w:ascii="宋体" w:hAnsi="宋体"/>
                <w:szCs w:val="21"/>
              </w:rPr>
            </w:pPr>
            <w:r>
              <w:rPr>
                <w:rFonts w:hint="eastAsia" w:ascii="宋体" w:hAnsi="宋体"/>
                <w:szCs w:val="21"/>
              </w:rPr>
              <w:t>注册资金</w:t>
            </w:r>
          </w:p>
        </w:tc>
        <w:tc>
          <w:tcPr>
            <w:tcW w:w="5907" w:type="dxa"/>
            <w:tcBorders>
              <w:bottom w:val="single" w:color="auto" w:sz="4" w:space="0"/>
            </w:tcBorders>
            <w:vAlign w:val="center"/>
          </w:tcPr>
          <w:p>
            <w:pPr>
              <w:jc w:val="left"/>
              <w:rPr>
                <w:rFonts w:ascii="宋体" w:hAnsi="宋体"/>
                <w:szCs w:val="21"/>
              </w:rPr>
            </w:pPr>
            <w:r>
              <w:rPr>
                <w:rFonts w:hint="eastAsia" w:ascii="宋体" w:hAnsi="宋体"/>
                <w:szCs w:val="21"/>
              </w:rPr>
              <w:t>按人民币计算，根据公司营业执照，横向对比</w:t>
            </w:r>
            <w:r>
              <w:rPr>
                <w:rFonts w:ascii="宋体" w:hAnsi="宋体"/>
                <w:szCs w:val="21"/>
              </w:rPr>
              <w:t>后</w:t>
            </w:r>
            <w:r>
              <w:rPr>
                <w:rFonts w:hint="eastAsia" w:ascii="宋体" w:hAnsi="宋体"/>
                <w:szCs w:val="21"/>
              </w:rPr>
              <w:t>评分</w:t>
            </w:r>
            <w:r>
              <w:rPr>
                <w:rFonts w:ascii="宋体" w:hAnsi="宋体"/>
                <w:szCs w:val="21"/>
              </w:rPr>
              <w:t>。</w:t>
            </w:r>
          </w:p>
        </w:tc>
        <w:tc>
          <w:tcPr>
            <w:tcW w:w="851" w:type="dxa"/>
            <w:tcBorders>
              <w:bottom w:val="single" w:color="auto" w:sz="4" w:space="0"/>
            </w:tcBorders>
            <w:vAlign w:val="center"/>
          </w:tcPr>
          <w:p>
            <w:pPr>
              <w:jc w:val="center"/>
              <w:rPr>
                <w:rFonts w:ascii="宋体" w:hAnsi="宋体"/>
                <w:b/>
                <w:bCs/>
                <w:szCs w:val="21"/>
              </w:rPr>
            </w:pPr>
            <w:r>
              <w:rPr>
                <w:rFonts w:hint="eastAsia" w:ascii="宋体" w:hAnsi="宋体"/>
                <w:szCs w:val="21"/>
              </w:rPr>
              <w:t>0-</w:t>
            </w:r>
            <w:r>
              <w:rPr>
                <w:rFonts w:ascii="宋体" w:hAnsi="宋体"/>
                <w:szCs w:val="21"/>
              </w:rPr>
              <w:t>2</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606" w:type="dxa"/>
            <w:vMerge w:val="continue"/>
            <w:vAlign w:val="center"/>
          </w:tcPr>
          <w:p>
            <w:pPr>
              <w:jc w:val="center"/>
              <w:rPr>
                <w:rFonts w:ascii="宋体" w:hAnsi="宋体"/>
                <w:szCs w:val="21"/>
              </w:rPr>
            </w:pPr>
          </w:p>
        </w:tc>
        <w:tc>
          <w:tcPr>
            <w:tcW w:w="1701" w:type="dxa"/>
            <w:vAlign w:val="center"/>
          </w:tcPr>
          <w:p>
            <w:pPr>
              <w:jc w:val="center"/>
              <w:rPr>
                <w:rFonts w:ascii="宋体" w:hAnsi="宋体"/>
                <w:szCs w:val="21"/>
              </w:rPr>
            </w:pPr>
            <w:r>
              <w:rPr>
                <w:rFonts w:hint="eastAsia" w:ascii="宋体" w:hAnsi="宋体"/>
                <w:szCs w:val="21"/>
              </w:rPr>
              <w:t>信息系统集成资质</w:t>
            </w:r>
          </w:p>
        </w:tc>
        <w:tc>
          <w:tcPr>
            <w:tcW w:w="5907" w:type="dxa"/>
            <w:vAlign w:val="center"/>
          </w:tcPr>
          <w:p>
            <w:pPr>
              <w:jc w:val="left"/>
              <w:rPr>
                <w:rFonts w:ascii="宋体" w:hAnsi="宋体"/>
                <w:szCs w:val="21"/>
              </w:rPr>
            </w:pPr>
            <w:r>
              <w:rPr>
                <w:rFonts w:hint="eastAsia" w:ascii="宋体" w:hAnsi="宋体"/>
                <w:szCs w:val="21"/>
              </w:rPr>
              <w:t>2级以上资质得</w:t>
            </w:r>
            <w:r>
              <w:rPr>
                <w:rFonts w:ascii="宋体" w:hAnsi="宋体"/>
                <w:szCs w:val="21"/>
              </w:rPr>
              <w:t>2</w:t>
            </w:r>
            <w:r>
              <w:rPr>
                <w:rFonts w:hint="eastAsia" w:ascii="宋体" w:hAnsi="宋体"/>
                <w:szCs w:val="21"/>
              </w:rPr>
              <w:t>分，否则不得分</w:t>
            </w:r>
          </w:p>
        </w:tc>
        <w:tc>
          <w:tcPr>
            <w:tcW w:w="851" w:type="dxa"/>
            <w:vAlign w:val="center"/>
          </w:tcPr>
          <w:p>
            <w:pPr>
              <w:jc w:val="center"/>
              <w:rPr>
                <w:rFonts w:ascii="宋体" w:hAnsi="宋体"/>
                <w:szCs w:val="21"/>
              </w:rPr>
            </w:pPr>
            <w:r>
              <w:rPr>
                <w:rFonts w:hint="eastAsia" w:ascii="宋体" w:hAnsi="宋体"/>
                <w:szCs w:val="21"/>
              </w:rPr>
              <w:t>0-</w:t>
            </w:r>
            <w:r>
              <w:rPr>
                <w:rFonts w:ascii="宋体" w:hAnsi="宋体"/>
                <w:szCs w:val="21"/>
              </w:rPr>
              <w:t>2</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606" w:type="dxa"/>
            <w:vMerge w:val="restart"/>
            <w:vAlign w:val="center"/>
          </w:tcPr>
          <w:p>
            <w:pPr>
              <w:jc w:val="center"/>
              <w:rPr>
                <w:rFonts w:ascii="宋体" w:hAnsi="宋体"/>
                <w:szCs w:val="21"/>
              </w:rPr>
            </w:pPr>
            <w:r>
              <w:rPr>
                <w:rFonts w:hint="eastAsia" w:ascii="宋体" w:hAnsi="宋体"/>
                <w:szCs w:val="21"/>
              </w:rPr>
              <w:t>实施经验</w:t>
            </w:r>
          </w:p>
          <w:p>
            <w:pPr>
              <w:jc w:val="center"/>
              <w:rPr>
                <w:rFonts w:ascii="宋体" w:hAnsi="宋体"/>
                <w:szCs w:val="21"/>
              </w:rPr>
            </w:pPr>
            <w:r>
              <w:rPr>
                <w:rFonts w:hint="eastAsia" w:ascii="宋体" w:hAnsi="宋体"/>
                <w:szCs w:val="21"/>
              </w:rPr>
              <w:t>（6分）</w:t>
            </w:r>
          </w:p>
        </w:tc>
        <w:tc>
          <w:tcPr>
            <w:tcW w:w="1701" w:type="dxa"/>
            <w:vAlign w:val="center"/>
          </w:tcPr>
          <w:p>
            <w:pPr>
              <w:jc w:val="center"/>
              <w:rPr>
                <w:rFonts w:ascii="宋体" w:hAnsi="宋体"/>
                <w:szCs w:val="21"/>
              </w:rPr>
            </w:pPr>
            <w:r>
              <w:rPr>
                <w:rFonts w:hint="eastAsia" w:ascii="宋体" w:hAnsi="宋体"/>
                <w:szCs w:val="21"/>
              </w:rPr>
              <w:t>最近三年（自2016年1月1日至</w:t>
            </w:r>
            <w:r>
              <w:rPr>
                <w:rFonts w:ascii="宋体" w:hAnsi="宋体"/>
                <w:szCs w:val="21"/>
              </w:rPr>
              <w:t>投标截止日</w:t>
            </w:r>
            <w:r>
              <w:rPr>
                <w:rFonts w:hint="eastAsia" w:ascii="宋体" w:hAnsi="宋体"/>
                <w:szCs w:val="21"/>
              </w:rPr>
              <w:t>）实施过类似存储维保项目</w:t>
            </w:r>
          </w:p>
        </w:tc>
        <w:tc>
          <w:tcPr>
            <w:tcW w:w="5907" w:type="dxa"/>
            <w:vAlign w:val="center"/>
          </w:tcPr>
          <w:p>
            <w:pPr>
              <w:jc w:val="left"/>
              <w:rPr>
                <w:rFonts w:ascii="宋体" w:hAnsi="宋体"/>
                <w:szCs w:val="21"/>
              </w:rPr>
            </w:pPr>
            <w:r>
              <w:rPr>
                <w:rFonts w:hint="eastAsia" w:ascii="宋体" w:hAnsi="宋体"/>
                <w:szCs w:val="21"/>
              </w:rPr>
              <w:t>提供一个案例得1分，最高不超过</w:t>
            </w:r>
            <w:r>
              <w:rPr>
                <w:rFonts w:ascii="宋体" w:hAnsi="宋体"/>
                <w:szCs w:val="21"/>
              </w:rPr>
              <w:t>2</w:t>
            </w:r>
            <w:r>
              <w:rPr>
                <w:rFonts w:hint="eastAsia" w:ascii="宋体" w:hAnsi="宋体"/>
                <w:szCs w:val="21"/>
              </w:rPr>
              <w:t>分</w:t>
            </w:r>
          </w:p>
        </w:tc>
        <w:tc>
          <w:tcPr>
            <w:tcW w:w="851" w:type="dxa"/>
            <w:vAlign w:val="center"/>
          </w:tcPr>
          <w:p>
            <w:pPr>
              <w:jc w:val="center"/>
              <w:rPr>
                <w:rFonts w:ascii="宋体" w:hAnsi="宋体"/>
                <w:b/>
                <w:szCs w:val="21"/>
              </w:rPr>
            </w:pPr>
            <w:r>
              <w:rPr>
                <w:rFonts w:hint="eastAsia" w:ascii="宋体" w:hAnsi="宋体"/>
                <w:szCs w:val="21"/>
              </w:rPr>
              <w:t>0-</w:t>
            </w:r>
            <w:r>
              <w:rPr>
                <w:rFonts w:ascii="宋体" w:hAnsi="宋体"/>
                <w:szCs w:val="21"/>
              </w:rPr>
              <w:t>2</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4" w:hRule="atLeast"/>
        </w:trPr>
        <w:tc>
          <w:tcPr>
            <w:tcW w:w="1606" w:type="dxa"/>
            <w:vMerge w:val="continue"/>
            <w:vAlign w:val="center"/>
          </w:tcPr>
          <w:p>
            <w:pPr>
              <w:jc w:val="center"/>
              <w:rPr>
                <w:rFonts w:ascii="宋体" w:hAnsi="宋体"/>
                <w:szCs w:val="21"/>
              </w:rPr>
            </w:pPr>
          </w:p>
        </w:tc>
        <w:tc>
          <w:tcPr>
            <w:tcW w:w="1701" w:type="dxa"/>
            <w:vAlign w:val="center"/>
          </w:tcPr>
          <w:p>
            <w:pPr>
              <w:jc w:val="center"/>
              <w:rPr>
                <w:rFonts w:ascii="宋体" w:hAnsi="宋体"/>
                <w:szCs w:val="21"/>
              </w:rPr>
            </w:pPr>
            <w:r>
              <w:rPr>
                <w:rFonts w:hint="eastAsia" w:ascii="宋体" w:hAnsi="宋体"/>
                <w:szCs w:val="21"/>
              </w:rPr>
              <w:t>自2016年1月1日至</w:t>
            </w:r>
            <w:r>
              <w:rPr>
                <w:rFonts w:ascii="宋体" w:hAnsi="宋体"/>
                <w:szCs w:val="21"/>
              </w:rPr>
              <w:t>投标截止日</w:t>
            </w:r>
            <w:r>
              <w:rPr>
                <w:rFonts w:hint="eastAsia" w:ascii="宋体" w:hAnsi="宋体"/>
                <w:szCs w:val="21"/>
              </w:rPr>
              <w:t>实施过oracle数据库及IBM集成总线软件维保项目经验</w:t>
            </w:r>
          </w:p>
        </w:tc>
        <w:tc>
          <w:tcPr>
            <w:tcW w:w="5907" w:type="dxa"/>
            <w:vAlign w:val="center"/>
          </w:tcPr>
          <w:p>
            <w:pPr>
              <w:jc w:val="left"/>
              <w:rPr>
                <w:rFonts w:ascii="宋体" w:hAnsi="宋体"/>
                <w:szCs w:val="21"/>
              </w:rPr>
            </w:pPr>
            <w:r>
              <w:rPr>
                <w:rFonts w:hint="eastAsia" w:ascii="宋体" w:hAnsi="宋体"/>
                <w:szCs w:val="21"/>
              </w:rPr>
              <w:t>oracle数据库维保每提供一个案例得1分，最高不超过</w:t>
            </w:r>
            <w:r>
              <w:rPr>
                <w:rFonts w:ascii="宋体" w:hAnsi="宋体"/>
                <w:szCs w:val="21"/>
              </w:rPr>
              <w:t>2</w:t>
            </w:r>
            <w:r>
              <w:rPr>
                <w:rFonts w:hint="eastAsia" w:ascii="宋体" w:hAnsi="宋体"/>
                <w:szCs w:val="21"/>
              </w:rPr>
              <w:t>分；</w:t>
            </w:r>
          </w:p>
          <w:p>
            <w:pPr>
              <w:jc w:val="left"/>
              <w:rPr>
                <w:rFonts w:ascii="宋体" w:hAnsi="宋体"/>
                <w:szCs w:val="21"/>
              </w:rPr>
            </w:pPr>
            <w:r>
              <w:rPr>
                <w:rFonts w:hint="eastAsia" w:ascii="宋体" w:hAnsi="宋体"/>
                <w:szCs w:val="21"/>
              </w:rPr>
              <w:t>IBM集成总线软件维保每提供一个案例得1分，最高不超过</w:t>
            </w:r>
            <w:r>
              <w:rPr>
                <w:rFonts w:ascii="宋体" w:hAnsi="宋体"/>
                <w:szCs w:val="21"/>
              </w:rPr>
              <w:t>2</w:t>
            </w:r>
            <w:r>
              <w:rPr>
                <w:rFonts w:hint="eastAsia" w:ascii="宋体" w:hAnsi="宋体"/>
                <w:szCs w:val="21"/>
              </w:rPr>
              <w:t>分；</w:t>
            </w:r>
          </w:p>
        </w:tc>
        <w:tc>
          <w:tcPr>
            <w:tcW w:w="851" w:type="dxa"/>
            <w:vAlign w:val="center"/>
          </w:tcPr>
          <w:p>
            <w:pPr>
              <w:jc w:val="center"/>
              <w:rPr>
                <w:rFonts w:ascii="宋体" w:hAnsi="宋体"/>
                <w:b/>
                <w:bCs/>
                <w:szCs w:val="21"/>
              </w:rPr>
            </w:pPr>
            <w:r>
              <w:rPr>
                <w:rFonts w:hint="eastAsia" w:ascii="宋体" w:hAnsi="宋体"/>
                <w:szCs w:val="21"/>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2" w:hRule="atLeast"/>
        </w:trPr>
        <w:tc>
          <w:tcPr>
            <w:tcW w:w="1606" w:type="dxa"/>
            <w:vMerge w:val="restart"/>
            <w:vAlign w:val="center"/>
          </w:tcPr>
          <w:p>
            <w:pPr>
              <w:jc w:val="center"/>
              <w:rPr>
                <w:rFonts w:ascii="宋体" w:hAnsi="宋体"/>
                <w:szCs w:val="21"/>
              </w:rPr>
            </w:pPr>
            <w:r>
              <w:rPr>
                <w:rFonts w:hint="eastAsia" w:ascii="宋体" w:hAnsi="宋体"/>
                <w:szCs w:val="21"/>
              </w:rPr>
              <w:t>项目方案与服务</w:t>
            </w:r>
          </w:p>
          <w:p>
            <w:pPr>
              <w:jc w:val="center"/>
              <w:rPr>
                <w:rFonts w:ascii="宋体" w:hAnsi="宋体"/>
                <w:szCs w:val="21"/>
              </w:rPr>
            </w:pPr>
            <w:r>
              <w:rPr>
                <w:rFonts w:hint="eastAsia" w:ascii="宋体" w:hAnsi="宋体"/>
                <w:szCs w:val="21"/>
              </w:rPr>
              <w:t>（20分）</w:t>
            </w:r>
          </w:p>
        </w:tc>
        <w:tc>
          <w:tcPr>
            <w:tcW w:w="1701" w:type="dxa"/>
            <w:vAlign w:val="center"/>
          </w:tcPr>
          <w:p>
            <w:pPr>
              <w:jc w:val="center"/>
              <w:rPr>
                <w:rFonts w:ascii="宋体" w:hAnsi="宋体"/>
                <w:szCs w:val="21"/>
              </w:rPr>
            </w:pPr>
            <w:r>
              <w:rPr>
                <w:rFonts w:hint="eastAsia" w:ascii="宋体" w:hAnsi="宋体"/>
                <w:szCs w:val="21"/>
              </w:rPr>
              <w:t>项目方案合理性</w:t>
            </w:r>
          </w:p>
        </w:tc>
        <w:tc>
          <w:tcPr>
            <w:tcW w:w="5907" w:type="dxa"/>
            <w:vAlign w:val="center"/>
          </w:tcPr>
          <w:p>
            <w:pPr>
              <w:jc w:val="left"/>
              <w:rPr>
                <w:rFonts w:ascii="宋体" w:hAnsi="宋体"/>
                <w:szCs w:val="21"/>
              </w:rPr>
            </w:pPr>
            <w:r>
              <w:rPr>
                <w:rFonts w:hint="eastAsia" w:ascii="宋体" w:hAnsi="宋体"/>
                <w:szCs w:val="21"/>
              </w:rPr>
              <w:t>针对本次项目提出具体方案等内容是否完整，培训方案是否健全，完全满足得6分，否则酌情减分</w:t>
            </w:r>
          </w:p>
        </w:tc>
        <w:tc>
          <w:tcPr>
            <w:tcW w:w="851" w:type="dxa"/>
            <w:vAlign w:val="center"/>
          </w:tcPr>
          <w:p>
            <w:pPr>
              <w:jc w:val="center"/>
              <w:rPr>
                <w:rFonts w:ascii="宋体" w:hAnsi="宋体"/>
                <w:szCs w:val="21"/>
              </w:rPr>
            </w:pPr>
            <w:r>
              <w:rPr>
                <w:rFonts w:hint="eastAsia" w:ascii="宋体" w:hAnsi="宋体"/>
                <w:szCs w:val="21"/>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7" w:hRule="atLeast"/>
        </w:trPr>
        <w:tc>
          <w:tcPr>
            <w:tcW w:w="1606" w:type="dxa"/>
            <w:vMerge w:val="continue"/>
            <w:vAlign w:val="center"/>
          </w:tcPr>
          <w:p>
            <w:pPr>
              <w:jc w:val="center"/>
              <w:rPr>
                <w:rFonts w:ascii="宋体" w:hAnsi="宋体"/>
                <w:szCs w:val="21"/>
              </w:rPr>
            </w:pPr>
          </w:p>
        </w:tc>
        <w:tc>
          <w:tcPr>
            <w:tcW w:w="1701" w:type="dxa"/>
            <w:vAlign w:val="center"/>
          </w:tcPr>
          <w:p>
            <w:pPr>
              <w:jc w:val="center"/>
              <w:rPr>
                <w:rFonts w:ascii="宋体" w:hAnsi="宋体"/>
                <w:szCs w:val="21"/>
              </w:rPr>
            </w:pPr>
            <w:r>
              <w:rPr>
                <w:rFonts w:hint="eastAsia" w:ascii="宋体" w:hAnsi="宋体"/>
                <w:szCs w:val="21"/>
              </w:rPr>
              <w:t>备品备件情况</w:t>
            </w:r>
          </w:p>
        </w:tc>
        <w:tc>
          <w:tcPr>
            <w:tcW w:w="5907" w:type="dxa"/>
            <w:shd w:val="clear" w:color="auto" w:fill="FFFF00"/>
            <w:vAlign w:val="center"/>
          </w:tcPr>
          <w:p>
            <w:pPr>
              <w:jc w:val="left"/>
              <w:rPr>
                <w:rFonts w:ascii="宋体" w:hAnsi="宋体"/>
                <w:szCs w:val="21"/>
              </w:rPr>
            </w:pPr>
            <w:r>
              <w:rPr>
                <w:rFonts w:hint="eastAsia" w:ascii="宋体" w:hAnsi="宋体"/>
                <w:szCs w:val="21"/>
              </w:rPr>
              <w:t>投标人是否具有较强的本地化服务能力、是否具有充足</w:t>
            </w:r>
            <w:r>
              <w:rPr>
                <w:rFonts w:ascii="宋体" w:hAnsi="宋体"/>
                <w:szCs w:val="21"/>
              </w:rPr>
              <w:t>的备品备件</w:t>
            </w:r>
            <w:r>
              <w:rPr>
                <w:rFonts w:hint="eastAsia" w:ascii="宋体" w:hAnsi="宋体"/>
                <w:szCs w:val="21"/>
              </w:rPr>
              <w:t>投入</w:t>
            </w:r>
            <w:r>
              <w:rPr>
                <w:rFonts w:ascii="宋体" w:hAnsi="宋体"/>
                <w:szCs w:val="21"/>
              </w:rPr>
              <w:t>。</w:t>
            </w:r>
            <w:r>
              <w:rPr>
                <w:rFonts w:hint="eastAsia" w:ascii="宋体" w:hAnsi="宋体"/>
                <w:szCs w:val="21"/>
              </w:rPr>
              <w:t>由</w:t>
            </w:r>
            <w:r>
              <w:rPr>
                <w:rFonts w:ascii="宋体" w:hAnsi="宋体"/>
                <w:szCs w:val="21"/>
              </w:rPr>
              <w:t>评委横向对比后评分。</w:t>
            </w:r>
          </w:p>
        </w:tc>
        <w:tc>
          <w:tcPr>
            <w:tcW w:w="851" w:type="dxa"/>
            <w:vAlign w:val="center"/>
          </w:tcPr>
          <w:p>
            <w:pPr>
              <w:jc w:val="center"/>
              <w:rPr>
                <w:rFonts w:ascii="宋体" w:hAnsi="宋体"/>
                <w:szCs w:val="21"/>
              </w:rPr>
            </w:pPr>
            <w:r>
              <w:rPr>
                <w:rFonts w:hint="eastAsia" w:ascii="宋体" w:hAnsi="宋体"/>
                <w:szCs w:val="21"/>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2" w:hRule="atLeast"/>
        </w:trPr>
        <w:tc>
          <w:tcPr>
            <w:tcW w:w="1606" w:type="dxa"/>
            <w:vMerge w:val="continue"/>
            <w:vAlign w:val="center"/>
          </w:tcPr>
          <w:p>
            <w:pPr>
              <w:jc w:val="center"/>
              <w:rPr>
                <w:rFonts w:ascii="宋体" w:hAnsi="宋体"/>
                <w:szCs w:val="21"/>
              </w:rPr>
            </w:pPr>
          </w:p>
        </w:tc>
        <w:tc>
          <w:tcPr>
            <w:tcW w:w="1701" w:type="dxa"/>
            <w:vAlign w:val="center"/>
          </w:tcPr>
          <w:p>
            <w:pPr>
              <w:jc w:val="center"/>
              <w:rPr>
                <w:rFonts w:ascii="宋体" w:hAnsi="宋体"/>
                <w:szCs w:val="21"/>
              </w:rPr>
            </w:pPr>
            <w:r>
              <w:rPr>
                <w:rFonts w:hint="eastAsia" w:ascii="宋体" w:hAnsi="宋体"/>
                <w:szCs w:val="21"/>
              </w:rPr>
              <w:t>服务能力及故障响应</w:t>
            </w:r>
          </w:p>
        </w:tc>
        <w:tc>
          <w:tcPr>
            <w:tcW w:w="5907" w:type="dxa"/>
            <w:vAlign w:val="center"/>
          </w:tcPr>
          <w:p>
            <w:pPr>
              <w:jc w:val="left"/>
              <w:rPr>
                <w:rFonts w:ascii="宋体" w:hAnsi="宋体"/>
                <w:szCs w:val="21"/>
              </w:rPr>
            </w:pPr>
            <w:r>
              <w:rPr>
                <w:rFonts w:hint="eastAsia" w:ascii="宋体" w:hAnsi="宋体"/>
                <w:szCs w:val="21"/>
              </w:rPr>
              <w:t>投标人具备1小时内响应并到达现场的能力，得</w:t>
            </w:r>
            <w:r>
              <w:rPr>
                <w:rFonts w:ascii="宋体" w:hAnsi="宋体"/>
                <w:szCs w:val="21"/>
              </w:rPr>
              <w:t>4</w:t>
            </w:r>
            <w:r>
              <w:rPr>
                <w:rFonts w:hint="eastAsia" w:ascii="宋体" w:hAnsi="宋体"/>
                <w:szCs w:val="21"/>
              </w:rPr>
              <w:t>分；具备2小时内响应并到达现场的能力，得</w:t>
            </w:r>
            <w:r>
              <w:rPr>
                <w:rFonts w:ascii="宋体" w:hAnsi="宋体"/>
                <w:szCs w:val="21"/>
              </w:rPr>
              <w:t>2</w:t>
            </w:r>
            <w:r>
              <w:rPr>
                <w:rFonts w:hint="eastAsia" w:ascii="宋体" w:hAnsi="宋体"/>
                <w:szCs w:val="21"/>
              </w:rPr>
              <w:t>分；否则不得分。</w:t>
            </w:r>
          </w:p>
        </w:tc>
        <w:tc>
          <w:tcPr>
            <w:tcW w:w="851" w:type="dxa"/>
            <w:vAlign w:val="center"/>
          </w:tcPr>
          <w:p>
            <w:pPr>
              <w:jc w:val="center"/>
              <w:rPr>
                <w:rFonts w:ascii="宋体" w:hAnsi="宋体"/>
                <w:szCs w:val="21"/>
              </w:rPr>
            </w:pPr>
            <w:r>
              <w:rPr>
                <w:rFonts w:hint="eastAsia" w:ascii="宋体" w:hAnsi="宋体"/>
                <w:szCs w:val="21"/>
              </w:rPr>
              <w:t>0-</w:t>
            </w:r>
            <w:r>
              <w:rPr>
                <w:rFonts w:ascii="宋体" w:hAnsi="宋体"/>
                <w:szCs w:val="21"/>
              </w:rPr>
              <w:t>4</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2" w:hRule="atLeast"/>
        </w:trPr>
        <w:tc>
          <w:tcPr>
            <w:tcW w:w="1606" w:type="dxa"/>
            <w:vMerge w:val="continue"/>
            <w:vAlign w:val="center"/>
          </w:tcPr>
          <w:p>
            <w:pPr>
              <w:jc w:val="center"/>
              <w:rPr>
                <w:rFonts w:ascii="宋体" w:hAnsi="宋体"/>
                <w:szCs w:val="21"/>
              </w:rPr>
            </w:pPr>
          </w:p>
        </w:tc>
        <w:tc>
          <w:tcPr>
            <w:tcW w:w="1701" w:type="dxa"/>
            <w:vAlign w:val="center"/>
          </w:tcPr>
          <w:p>
            <w:pPr>
              <w:jc w:val="center"/>
              <w:rPr>
                <w:rFonts w:ascii="宋体" w:hAnsi="宋体"/>
                <w:szCs w:val="21"/>
              </w:rPr>
            </w:pPr>
            <w:r>
              <w:rPr>
                <w:rFonts w:hint="eastAsia" w:ascii="宋体" w:hAnsi="宋体"/>
                <w:szCs w:val="21"/>
              </w:rPr>
              <w:t>实施团队</w:t>
            </w:r>
          </w:p>
        </w:tc>
        <w:tc>
          <w:tcPr>
            <w:tcW w:w="5907" w:type="dxa"/>
            <w:vAlign w:val="center"/>
          </w:tcPr>
          <w:p>
            <w:pPr>
              <w:jc w:val="left"/>
              <w:rPr>
                <w:rFonts w:ascii="宋体" w:hAnsi="宋体"/>
                <w:szCs w:val="21"/>
              </w:rPr>
            </w:pPr>
            <w:r>
              <w:rPr>
                <w:rFonts w:hint="eastAsia" w:ascii="宋体" w:hAnsi="宋体"/>
                <w:szCs w:val="21"/>
              </w:rPr>
              <w:t>以下</w:t>
            </w:r>
            <w:r>
              <w:rPr>
                <w:rFonts w:ascii="宋体" w:hAnsi="宋体"/>
                <w:szCs w:val="21"/>
              </w:rPr>
              <w:t>每项符合得</w:t>
            </w:r>
            <w:r>
              <w:rPr>
                <w:rFonts w:hint="eastAsia" w:ascii="宋体" w:hAnsi="宋体"/>
                <w:szCs w:val="21"/>
              </w:rPr>
              <w:t>1分，总分最高不超过4分：</w:t>
            </w:r>
          </w:p>
          <w:p>
            <w:pPr>
              <w:jc w:val="left"/>
              <w:rPr>
                <w:rFonts w:ascii="宋体" w:hAnsi="宋体"/>
                <w:szCs w:val="21"/>
              </w:rPr>
            </w:pPr>
            <w:r>
              <w:rPr>
                <w:rFonts w:hint="eastAsia" w:ascii="宋体" w:hAnsi="宋体"/>
                <w:szCs w:val="21"/>
              </w:rPr>
              <w:t>（1）项目经理具有信息系统项目管理师认证；</w:t>
            </w:r>
          </w:p>
          <w:p>
            <w:pPr>
              <w:jc w:val="left"/>
              <w:rPr>
                <w:rFonts w:ascii="宋体" w:hAnsi="宋体"/>
                <w:szCs w:val="21"/>
              </w:rPr>
            </w:pPr>
            <w:r>
              <w:rPr>
                <w:rFonts w:hint="eastAsia" w:ascii="宋体" w:hAnsi="宋体"/>
                <w:szCs w:val="21"/>
              </w:rPr>
              <w:t>（2）</w:t>
            </w:r>
            <w:r>
              <w:rPr>
                <w:rFonts w:ascii="宋体" w:hAnsi="宋体"/>
                <w:szCs w:val="21"/>
              </w:rPr>
              <w:t>项目经理具有</w:t>
            </w:r>
            <w:r>
              <w:rPr>
                <w:rFonts w:hint="eastAsia" w:ascii="宋体" w:hAnsi="宋体"/>
                <w:szCs w:val="21"/>
              </w:rPr>
              <w:t>PMP证书且具有高级项目经理证书；</w:t>
            </w:r>
          </w:p>
          <w:p>
            <w:pPr>
              <w:jc w:val="left"/>
              <w:rPr>
                <w:rFonts w:ascii="宋体" w:hAnsi="宋体"/>
                <w:szCs w:val="21"/>
              </w:rPr>
            </w:pPr>
            <w:r>
              <w:rPr>
                <w:rFonts w:hint="eastAsia" w:ascii="宋体" w:hAnsi="宋体"/>
                <w:szCs w:val="21"/>
              </w:rPr>
              <w:t>（3）实施团队中具有X86系统主机和磁盘阵列系统维护工作经验者；</w:t>
            </w:r>
          </w:p>
          <w:p>
            <w:pPr>
              <w:jc w:val="left"/>
              <w:rPr>
                <w:rFonts w:ascii="宋体" w:hAnsi="宋体"/>
                <w:szCs w:val="21"/>
              </w:rPr>
            </w:pPr>
            <w:r>
              <w:rPr>
                <w:rFonts w:hint="eastAsia" w:ascii="宋体" w:hAnsi="宋体"/>
                <w:szCs w:val="21"/>
              </w:rPr>
              <w:t>（4）项目技术人员具有Oracle认证的数据库OCM证书；项目技术人员具有信息安全保障认证工程师CISAW证书。</w:t>
            </w:r>
          </w:p>
          <w:p>
            <w:pPr>
              <w:jc w:val="left"/>
              <w:rPr>
                <w:rFonts w:ascii="宋体" w:hAnsi="宋体"/>
                <w:szCs w:val="21"/>
              </w:rPr>
            </w:pPr>
          </w:p>
        </w:tc>
        <w:tc>
          <w:tcPr>
            <w:tcW w:w="851" w:type="dxa"/>
            <w:vAlign w:val="center"/>
          </w:tcPr>
          <w:p>
            <w:pPr>
              <w:jc w:val="center"/>
              <w:rPr>
                <w:rFonts w:ascii="宋体" w:hAnsi="宋体"/>
                <w:szCs w:val="21"/>
              </w:rPr>
            </w:pPr>
            <w:r>
              <w:rPr>
                <w:rFonts w:hint="eastAsia" w:ascii="宋体" w:hAnsi="宋体"/>
                <w:szCs w:val="21"/>
              </w:rPr>
              <w:t>0-4分</w:t>
            </w:r>
          </w:p>
        </w:tc>
      </w:tr>
    </w:tbl>
    <w:p>
      <w:pPr>
        <w:pStyle w:val="21"/>
        <w:adjustRightInd w:val="0"/>
        <w:snapToGrid w:val="0"/>
        <w:spacing w:line="360" w:lineRule="exact"/>
        <w:ind w:firstLine="440" w:firstLineChars="200"/>
        <w:rPr>
          <w:rFonts w:hAnsi="宋体" w:cs="Calibri"/>
          <w:color w:val="000000"/>
          <w:sz w:val="22"/>
          <w:szCs w:val="22"/>
        </w:rPr>
      </w:pPr>
    </w:p>
    <w:p>
      <w:pPr>
        <w:pStyle w:val="21"/>
        <w:spacing w:line="360" w:lineRule="exact"/>
        <w:rPr>
          <w:rFonts w:hAnsi="宋体" w:cs="Calibri"/>
          <w:b/>
          <w:color w:val="000000"/>
          <w:sz w:val="22"/>
          <w:szCs w:val="22"/>
        </w:rPr>
      </w:pPr>
      <w:r>
        <w:rPr>
          <w:rFonts w:hAnsi="宋体" w:cs="Calibri"/>
          <w:b/>
          <w:color w:val="000000"/>
          <w:sz w:val="22"/>
          <w:szCs w:val="22"/>
        </w:rPr>
        <w:t>3.4</w:t>
      </w:r>
      <w:r>
        <w:rPr>
          <w:rFonts w:hint="eastAsia" w:hAnsi="宋体" w:cs="Calibri"/>
          <w:b/>
          <w:color w:val="000000"/>
          <w:sz w:val="22"/>
          <w:szCs w:val="22"/>
        </w:rPr>
        <w:t>推荐中标候选人</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3.4.1</w:t>
      </w:r>
      <w:r>
        <w:rPr>
          <w:rFonts w:hint="eastAsia" w:hAnsi="宋体" w:cs="Calibri"/>
          <w:color w:val="000000"/>
          <w:sz w:val="22"/>
          <w:szCs w:val="22"/>
        </w:rPr>
        <w:t>当有效投标文件大于等于二名时，评标委员会推荐得分最高、次高的投标人为中标候选人（如果得分相同则按投标人报价从低到高顺序推荐为中标候选人，如果投标报价也相同，则抽签决定）。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3.4.2</w:t>
      </w:r>
      <w:r>
        <w:rPr>
          <w:rFonts w:hint="eastAsia" w:hAnsi="宋体" w:cs="Calibri"/>
          <w:color w:val="000000"/>
          <w:sz w:val="22"/>
          <w:szCs w:val="22"/>
        </w:rPr>
        <w:t>当有效投标文件只有一名时，则由评标委员会确定是否推荐为中标候选人。</w:t>
      </w:r>
    </w:p>
    <w:p>
      <w:pPr>
        <w:pStyle w:val="21"/>
        <w:spacing w:line="360" w:lineRule="exact"/>
        <w:rPr>
          <w:rFonts w:hAnsi="宋体" w:cs="Calibri"/>
          <w:b/>
          <w:color w:val="000000"/>
          <w:sz w:val="22"/>
          <w:szCs w:val="22"/>
        </w:rPr>
      </w:pPr>
      <w:r>
        <w:rPr>
          <w:rFonts w:hAnsi="宋体" w:cs="Calibri"/>
          <w:b/>
          <w:color w:val="000000"/>
          <w:sz w:val="22"/>
          <w:szCs w:val="22"/>
        </w:rPr>
        <w:t>3.5</w:t>
      </w:r>
      <w:r>
        <w:rPr>
          <w:rFonts w:hint="eastAsia" w:hAnsi="宋体" w:cs="Calibri"/>
          <w:b/>
          <w:color w:val="000000"/>
          <w:sz w:val="22"/>
          <w:szCs w:val="22"/>
        </w:rPr>
        <w:t>评标报告</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color w:val="000000"/>
          <w:sz w:val="22"/>
          <w:szCs w:val="22"/>
        </w:rPr>
      </w:pPr>
      <w:r>
        <w:rPr>
          <w:rFonts w:hint="eastAsia" w:hAnsi="宋体" w:cs="Calibri"/>
          <w:b/>
          <w:color w:val="000000"/>
          <w:sz w:val="22"/>
          <w:szCs w:val="22"/>
        </w:rPr>
        <w:t>四、定标</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4.1</w:t>
      </w:r>
      <w:r>
        <w:rPr>
          <w:rFonts w:hint="eastAsia" w:hAnsi="宋体" w:cs="Calibri"/>
          <w:color w:val="000000"/>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4.2</w:t>
      </w:r>
      <w:r>
        <w:rPr>
          <w:rFonts w:hint="eastAsia" w:hAnsi="宋体" w:cs="Calibri"/>
          <w:color w:val="000000"/>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 xml:space="preserve">4.3 </w:t>
      </w:r>
      <w:r>
        <w:rPr>
          <w:rFonts w:hint="eastAsia" w:hAnsi="宋体" w:cs="Calibri"/>
          <w:color w:val="000000"/>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 xml:space="preserve">4.4 </w:t>
      </w:r>
      <w:r>
        <w:rPr>
          <w:rFonts w:hint="eastAsia" w:hAnsi="宋体" w:cs="Calibri"/>
          <w:color w:val="000000"/>
          <w:sz w:val="22"/>
          <w:szCs w:val="22"/>
        </w:rPr>
        <w:t>招标人对评标、定标结果不负责解释。</w:t>
      </w:r>
    </w:p>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5"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5"/>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一、</w:t>
      </w:r>
      <w:r>
        <w:rPr>
          <w:rFonts w:ascii="宋体" w:hAnsi="宋体" w:cs="Calibri"/>
          <w:color w:val="000000"/>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w:t>
      </w:r>
      <w:r>
        <w:rPr>
          <w:rFonts w:ascii="宋体" w:hAnsi="宋体" w:cs="Calibri"/>
          <w:color w:val="000000"/>
          <w:sz w:val="22"/>
        </w:rPr>
        <w:t>投标人资格证明文件：</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w:t>
      </w:r>
      <w:r>
        <w:rPr>
          <w:rFonts w:hint="eastAsia" w:ascii="宋体" w:hAnsi="宋体" w:cs="Calibri"/>
          <w:sz w:val="22"/>
        </w:rPr>
        <w:t>税务登记证、</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（2）信用中国网站www.creditchina.gov.cn 、中国裁判文书网http://wenshu.court.gov.cn查询结果证材料。</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（3）有关证明投标人的企业信誉及获得各种奖励等资料；</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（4）投标人经济实力：包括企业注册资金、财务报告与报表中反映的财务状况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w:t>
      </w:r>
      <w:r>
        <w:rPr>
          <w:rFonts w:ascii="宋体" w:hAnsi="宋体" w:cs="Calibri"/>
          <w:color w:val="000000"/>
          <w:sz w:val="22"/>
        </w:rPr>
        <w:t>5</w:t>
      </w:r>
      <w:r>
        <w:rPr>
          <w:rFonts w:hint="eastAsia" w:ascii="宋体" w:hAnsi="宋体" w:cs="Calibri"/>
          <w:color w:val="000000"/>
          <w:sz w:val="22"/>
        </w:rPr>
        <w:t>）</w:t>
      </w:r>
      <w:r>
        <w:rPr>
          <w:rFonts w:ascii="宋体" w:hAnsi="宋体" w:cs="Calibri"/>
          <w:color w:val="000000"/>
          <w:sz w:val="22"/>
        </w:rPr>
        <w:t>近三年完成类似项目业绩情况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w:t>
      </w:r>
      <w:r>
        <w:rPr>
          <w:rFonts w:ascii="宋体" w:hAnsi="宋体" w:cs="Calibri"/>
          <w:color w:val="000000"/>
          <w:sz w:val="22"/>
        </w:rPr>
        <w:t>6</w:t>
      </w:r>
      <w:r>
        <w:rPr>
          <w:rFonts w:hint="eastAsia" w:ascii="宋体" w:hAnsi="宋体" w:cs="Calibri"/>
          <w:color w:val="000000"/>
          <w:sz w:val="22"/>
        </w:rPr>
        <w:t>）招标文件投标人资格要求中提供的相关材料。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w:t>
      </w:r>
      <w:r>
        <w:rPr>
          <w:rFonts w:hint="eastAsia" w:ascii="宋体" w:hAnsi="宋体" w:cs="Calibri"/>
          <w:color w:val="000000"/>
          <w:sz w:val="22"/>
        </w:rPr>
        <w:t>现场机构、人力、物资设备配置</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w:t>
      </w:r>
      <w:r>
        <w:rPr>
          <w:rFonts w:hint="eastAsia" w:ascii="宋体" w:hAnsi="宋体" w:cs="Calibri"/>
          <w:color w:val="000000"/>
          <w:sz w:val="22"/>
        </w:rPr>
        <w:t>运行、安全、服务等相关管理方案</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（7）对特殊情况的承诺以及灾害性、突发事件的应急预案；</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8</w:t>
      </w:r>
      <w:r>
        <w:rPr>
          <w:rFonts w:ascii="宋体" w:hAnsi="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9</w:t>
      </w:r>
      <w:r>
        <w:rPr>
          <w:rFonts w:ascii="宋体" w:hAnsi="宋体" w:cs="Calibri"/>
          <w:color w:val="000000"/>
          <w:sz w:val="22"/>
        </w:rPr>
        <w:t>）投入本项目服务的仪器、仪表、设备及交通工具汇总表</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Arial"/>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6" w:name="_Toc171421958"/>
      <w:r>
        <w:rPr>
          <w:rFonts w:cs="Calibri"/>
          <w:color w:val="000000"/>
        </w:rPr>
        <w:t>封面</w:t>
      </w:r>
      <w:bookmarkEnd w:id="11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1、根据已收到的</w:t>
      </w:r>
      <w:r>
        <w:rPr>
          <w:rFonts w:hint="eastAsia" w:cs="Calibri" w:asciiTheme="minorEastAsia" w:hAnsiTheme="minorEastAsia"/>
          <w:sz w:val="24"/>
          <w:u w:val="single"/>
        </w:rPr>
        <w:t xml:space="preserve">                           </w:t>
      </w:r>
      <w:r>
        <w:rPr>
          <w:rFonts w:hint="eastAsia" w:cs="Calibri" w:asciiTheme="minorEastAsia" w:hAnsiTheme="minorEastAsia"/>
          <w:sz w:val="24"/>
        </w:rPr>
        <w:t>招标文件，遵照《中华人民共和国招标投标法》等有关规定，经考察现场和研究上述招标文件后，我方愿以投标总价为人民币 (大写)：</w:t>
      </w:r>
      <w:r>
        <w:rPr>
          <w:rFonts w:hint="eastAsia" w:cs="Calibri" w:asciiTheme="minorEastAsia" w:hAnsiTheme="minorEastAsia"/>
          <w:sz w:val="24"/>
          <w:u w:val="single"/>
        </w:rPr>
        <w:t xml:space="preserve">               </w:t>
      </w:r>
      <w:r>
        <w:rPr>
          <w:rFonts w:hint="eastAsia" w:cs="Calibri" w:asciiTheme="minorEastAsia" w:hAnsiTheme="minorEastAsia"/>
          <w:sz w:val="24"/>
        </w:rPr>
        <w:t>元（RMB</w:t>
      </w:r>
      <w:r>
        <w:rPr>
          <w:rFonts w:hint="eastAsia" w:cs="Calibri" w:asciiTheme="minorEastAsia" w:hAnsiTheme="minorEastAsia"/>
          <w:sz w:val="24"/>
          <w:u w:val="single"/>
        </w:rPr>
        <w:t xml:space="preserve">         </w:t>
      </w:r>
      <w:r>
        <w:rPr>
          <w:rFonts w:hint="eastAsia" w:cs="Calibri" w:asciiTheme="minorEastAsia" w:hAnsiTheme="minorEastAsia"/>
          <w:sz w:val="24"/>
        </w:rPr>
        <w:t>元）报价并按上述招标文件要求承揽上述项目</w:t>
      </w:r>
      <w:r>
        <w:rPr>
          <w:rFonts w:hint="eastAsia" w:cs="Calibri" w:asciiTheme="minorEastAsia" w:hAnsiTheme="minorEastAsia"/>
          <w:bCs/>
          <w:sz w:val="24"/>
        </w:rPr>
        <w:t>所有等工作</w:t>
      </w:r>
      <w:r>
        <w:rPr>
          <w:rFonts w:hint="eastAsia" w:cs="Calibri" w:asciiTheme="minorEastAsia" w:hAnsiTheme="minorEastAsia"/>
          <w:sz w:val="24"/>
          <w:szCs w:val="21"/>
        </w:rPr>
        <w:t>。</w:t>
      </w:r>
      <w:r>
        <w:rPr>
          <w:rFonts w:hint="eastAsia" w:cs="Calibri" w:asciiTheme="minorEastAsia" w:hAnsiTheme="minorEastAsia"/>
          <w:sz w:val="24"/>
        </w:rPr>
        <w:t xml:space="preserve"> </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2. 我方承诺：</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（1）我方不是失信被执行人；</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（2）我方在规定期限内无行贿犯罪记录；</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（3）我方具有一般纳税人资格，可提供增值税专用发票。</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3．如我方中标，我方承诺：</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(1)在收到中标通知书后，在中标通知书规定的期限内与你方签订合同；</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(2)在签订合同时不向你方提出附加条件；</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(3)按照招标文件要求提交履约保证金；</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(4)在合同约定的期限内完成合同规定的全部义务。</w:t>
      </w:r>
    </w:p>
    <w:p>
      <w:pPr>
        <w:snapToGrid w:val="0"/>
        <w:spacing w:line="360" w:lineRule="auto"/>
        <w:rPr>
          <w:rFonts w:cs="Calibri" w:asciiTheme="minorEastAsia" w:hAnsiTheme="minorEastAsia"/>
          <w:sz w:val="24"/>
          <w:szCs w:val="20"/>
        </w:rPr>
      </w:pPr>
      <w:r>
        <w:rPr>
          <w:rFonts w:hint="eastAsia" w:cs="Calibri" w:asciiTheme="minorEastAsia" w:hAnsiTheme="minorEastAsia"/>
          <w:sz w:val="24"/>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sz w:val="24"/>
          <w:szCs w:val="20"/>
        </w:rPr>
      </w:pPr>
      <w:r>
        <w:rPr>
          <w:rFonts w:hint="eastAsia" w:cs="Calibri" w:asciiTheme="minorEastAsia" w:hAnsiTheme="minorEastAsia"/>
          <w:sz w:val="24"/>
        </w:rPr>
        <w:t xml:space="preserve">     5、除非另外达成协议并生效，你方的中标通知书和本投标文件将构成约束我们双方的合同。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7、我方同意按照你方可能提出的要求，提供有关的任何其它数字或资料，并对贵方可能不接受最低报价及任何报价表示理解。</w:t>
      </w:r>
    </w:p>
    <w:p>
      <w:pPr>
        <w:snapToGrid w:val="0"/>
        <w:spacing w:line="440" w:lineRule="exact"/>
        <w:rPr>
          <w:rFonts w:ascii="宋体" w:hAnsi="宋体" w:cs="Calibri"/>
          <w:color w:val="000000"/>
          <w:szCs w:val="21"/>
        </w:rPr>
      </w:pPr>
      <w:r>
        <w:rPr>
          <w:rFonts w:ascii="宋体" w:hAnsi="宋体"/>
          <w:sz w:val="24"/>
          <w:szCs w:val="24"/>
        </w:rPr>
        <w:t xml:space="preserve"> </w:t>
      </w:r>
    </w:p>
    <w:p>
      <w:pPr>
        <w:snapToGrid w:val="0"/>
        <w:spacing w:line="440" w:lineRule="exact"/>
        <w:rPr>
          <w:rFonts w:ascii="宋体" w:hAnsi="宋体" w:cs="Calibri"/>
          <w:color w:val="000000"/>
          <w:szCs w:val="21"/>
        </w:rPr>
      </w:pPr>
    </w:p>
    <w:p>
      <w:pPr>
        <w:snapToGrid w:val="0"/>
        <w:spacing w:line="440" w:lineRule="exact"/>
        <w:rPr>
          <w:rFonts w:ascii="宋体" w:hAnsi="宋体" w:cs="Calibri"/>
          <w:color w:val="000000"/>
          <w:szCs w:val="21"/>
        </w:rPr>
      </w:pP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投标人：（盖单位章）</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法定代表人或其委托代理人：（签字或盖章）</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地    址：</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邮政编码：</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电    话：</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传    真：</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开户银行：</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账    号：</w:t>
      </w:r>
    </w:p>
    <w:p>
      <w:pPr>
        <w:snapToGrid w:val="0"/>
        <w:spacing w:line="440" w:lineRule="exact"/>
        <w:ind w:firstLine="3600" w:firstLineChars="1500"/>
        <w:rPr>
          <w:rFonts w:eastAsia="黑体" w:cs="Calibri"/>
          <w:color w:val="000000"/>
          <w:sz w:val="32"/>
          <w:szCs w:val="32"/>
        </w:rPr>
      </w:pPr>
      <w:r>
        <w:rPr>
          <w:rFonts w:ascii="宋体" w:hAnsi="宋体" w:cs="Calibri"/>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16" w:firstLineChars="2960"/>
        <w:rPr>
          <w:rFonts w:cs="Calibri"/>
          <w:b/>
          <w:color w:val="000000"/>
          <w:szCs w:val="21"/>
        </w:rPr>
      </w:pPr>
      <w:r>
        <w:rPr>
          <w:rFonts w:cs="Calibri"/>
          <w:b/>
          <w:color w:val="000000"/>
          <w:szCs w:val="21"/>
        </w:rPr>
        <w:pict>
          <v:shape id="Text Box 6" o:spid="_x0000_s1026" o:spt="202" type="#_x0000_t202" style="position:absolute;left:0pt;margin-left:0pt;margin-top:31.2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Qj6C0CAABYBAAADgAAAGRycy9lMm9Eb2MueG1srFTbbtswDH0fsH8Q9L740qRtjDhFly7DgO4C&#10;tPsAWZZtYbKoSUrs7OtLyWkadNvLMD8IkkgdkueQXt2MvSJ7YZ0EXdJsllIiNIda6rak3x+3764p&#10;cZ7pminQoqQH4ejN+u2b1WAKkUMHqhaWIIh2xWBK2nlviiRxvBM9czMwQqOxAdszj0fbJrVlA6L3&#10;KsnT9DIZwNbGAhfO4e3dZKTriN80gvuvTeOEJ6qkmJuPq41rFdZkvWJFa5npJD+mwf4hi55JjUFP&#10;UHfMM7Kz8jeoXnILDho/49An0DSSi1gDVpOlr6p56JgRsRYkx5kTTe7/wfIv+2+WyLqkOSWa9SjR&#10;oxg9eQ8juQzsDMYV6PRg0M2PeI0qx0qduQf+wxENm47pVtxaC0MnWI3ZZeFlcvZ0wnEBpBo+Q41h&#10;2M5DBBob2wfqkAyC6KjS4aRMSIXj5eLiKs9SNHG05dnV8iKP2iWseH5urPMfBfQkbEpqUfoIz/b3&#10;zod0WPHsEqI5ULLeSqXiwbbVRlmyZ9gm2/jFCl65KU2Gki4X+WJi4K8Qafz+BNFLj/2uZF/S65MT&#10;KwJvH3Qdu9EzqaY9pqz0kcjA3cSiH6sxKhZZDiRXUB+QWQtTe+M44qYD+4uSAVu7pO7njllBifqk&#10;UZ1lNp+HWYiH+eIKqST23FKdW5jmCFVST8m03fhpfnbGyrbDSFM/aLhFRRsZuX7J6pg+tm+U4Dhq&#10;YT7Oz9Hr5YewfgIAAP//AwBQSwMEFAAGAAgAAAAhAJ3O5HTdAAAABw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oVjmIJJb5kUStgh5dlWAbGr5n7/5AQAA//8DAFBL&#10;AQItABQABgAIAAAAIQDkmcPA+wAAAOEBAAATAAAAAAAAAAAAAAAAAAAAAABbQ29udGVudF9UeXBl&#10;c10ueG1sUEsBAi0AFAAGAAgAAAAhACOyauHXAAAAlAEAAAsAAAAAAAAAAAAAAAAALAEAAF9yZWxz&#10;Ly5yZWxzUEsBAi0AFAAGAAgAAAAhACYkI+gtAgAAWAQAAA4AAAAAAAAAAAAAAAAALAIAAGRycy9l&#10;Mm9Eb2MueG1sUEsBAi0AFAAGAAgAAAAhAJ3O5HTdAAAABwEAAA8AAAAAAAAAAAAAAAAAhQQAAGRy&#10;cy9kb3ducmV2LnhtbFBLBQYAAAAABAAEAPMAAACP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ElsSwCAABRBAAADgAAAGRycy9lMm9Eb2MueG1srFTbjtsgEH2v1H9AvDe+bNJsrDirbbapKm0v&#10;0m4/AGNso2KGAom9/fodcDa12j5V9QMCZjicOWfw9mbsFTkJ6yTokmaLlBKhOdRStyX99nh4c02J&#10;80zXTIEWJX0Sjt7sXr/aDqYQOXSgamEJgmhXDKaknfemSBLHO9EztwAjNAYbsD3zuLRtUls2IHqv&#10;kjxN3yYD2NpY4MI53L2bgnQX8ZtGcP+laZzwRJUUufk42jhWYUx2W1a0lplO8jMN9g8seiY1XnqB&#10;umOekaOVf0D1kltw0PgFhz6BppFcxBqwmiz9rZqHjhkRa0FxnLnI5P4fLP98+mqJrNE7SjTr0aJH&#10;MXryDkayDuoMxhWY9GAwzY+4HTJDpc7cA//uiIZ9x3Qrbq2FoROsRnZZOJnMjk44LoBUwyeo8Rp2&#10;9BCBxsb2ARDFIIiOLj1dnAlUOG6urtZ5lmKIYyzP1purPHqXsOLluLHOfxDQkzApqUXrIzw73Tsf&#10;6LDiJSXSByXrg1QqLmxb7ZUlJ4ZtcohfrACrnKcpTYaSblb5alJgHnNziDR+f4Popcd+V7Iv6fUl&#10;iRVBt/e6jt3omVTTHCkrfRYyaDep6MdqPBtTQf2EklqY+hrfIU46sD8pGbCnS+p+HJkVlKiPGm3Z&#10;ZMtleARxsVytUUNi55FqHmGaI1RJPSXTdO+nh3M0VrYd3jQ1goZbtLKRUeTg+cTqzBv7Nmp/fmPh&#10;YczXMevXn2D3DAAA//8DAFBLAwQUAAYACAAAACEAy+DUqd4AAAAJAQAADwAAAGRycy9kb3ducmV2&#10;LnhtbEyPwU7DMBBE70j8g7VIXFDrlETBhDgVQgLBrZQKrm7sJhH2OthuGv6e5QTH2RnNvqnXs7Ns&#10;MiEOHiWslhkwg63XA3YSdm+PCwEsJoVaWY9GwreJsG7Oz2pVaX/CVzNtU8eoBGOlJPQpjRXnse2N&#10;U3HpR4PkHXxwKpEMHddBnajcWX6dZSV3akD60KvRPPSm/dwenQRRPE8f8SXfvLflwd6mq5vp6StI&#10;eXkx398BS2ZOf2H4xSd0aIhp74+oI7OkRU5JCcWqBEa+KAs67CXkohDAm5r/X9D8AAAA//8DAFBL&#10;AQItABQABgAIAAAAIQDkmcPA+wAAAOEBAAATAAAAAAAAAAAAAAAAAAAAAABbQ29udGVudF9UeXBl&#10;c10ueG1sUEsBAi0AFAAGAAgAAAAhACOyauHXAAAAlAEAAAsAAAAAAAAAAAAAAAAALAEAAF9yZWxz&#10;Ly5yZWxzUEsBAi0AFAAGAAgAAAAhAImhJbEsAgAAUQQAAA4AAAAAAAAAAAAAAAAALAIAAGRycy9l&#10;Mm9Eb2MueG1sUEsBAi0AFAAGAAgAAAAhAMvg1KneAAAACQEAAA8AAAAAAAAAAAAAAAAAhAQAAGRy&#10;cy9kb3ducmV2LnhtbFBLBQYAAAAABAAEAPMAAACP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sectPr>
          <w:footerReference r:id="rId8" w:type="even"/>
          <w:pgSz w:w="11906" w:h="16838"/>
          <w:pgMar w:top="1134" w:right="1247" w:bottom="1134" w:left="1247" w:header="851" w:footer="992" w:gutter="0"/>
          <w:cols w:space="720" w:num="1"/>
          <w:docGrid w:linePitch="312" w:charSpace="0"/>
        </w:sectPr>
      </w:pP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pStyle w:val="21"/>
        <w:spacing w:after="120" w:afterLines="50" w:line="360" w:lineRule="auto"/>
        <w:jc w:val="center"/>
        <w:rPr>
          <w:rFonts w:hAnsi="宋体" w:cs="宋体"/>
        </w:rPr>
      </w:pPr>
    </w:p>
    <w:p>
      <w:pPr>
        <w:pStyle w:val="21"/>
        <w:numPr>
          <w:ilvl w:val="1"/>
          <w:numId w:val="3"/>
        </w:numPr>
        <w:snapToGrid w:val="0"/>
        <w:spacing w:before="120" w:beforeLines="50" w:line="360" w:lineRule="exact"/>
        <w:ind w:left="1282" w:hanging="442"/>
        <w:rPr>
          <w:rFonts w:hAnsi="宋体" w:cs="宋体"/>
          <w:b/>
          <w:sz w:val="22"/>
          <w:szCs w:val="22"/>
        </w:rPr>
      </w:pPr>
      <w:r>
        <w:rPr>
          <w:rFonts w:hint="eastAsia" w:hAnsi="宋体" w:cs="宋体"/>
          <w:b/>
          <w:sz w:val="22"/>
          <w:szCs w:val="22"/>
        </w:rPr>
        <w:t>总则</w:t>
      </w:r>
    </w:p>
    <w:p>
      <w:pPr>
        <w:pStyle w:val="21"/>
        <w:numPr>
          <w:ilvl w:val="1"/>
          <w:numId w:val="4"/>
        </w:numPr>
        <w:snapToGrid w:val="0"/>
        <w:spacing w:before="120" w:beforeLines="50" w:line="360" w:lineRule="exact"/>
        <w:ind w:left="1700" w:hanging="440"/>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1"/>
        <w:numPr>
          <w:ilvl w:val="1"/>
          <w:numId w:val="4"/>
        </w:numPr>
        <w:snapToGrid w:val="0"/>
        <w:spacing w:before="120" w:beforeLines="50" w:line="360" w:lineRule="exact"/>
        <w:ind w:left="1700" w:hanging="440"/>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1"/>
        <w:numPr>
          <w:ilvl w:val="1"/>
          <w:numId w:val="4"/>
        </w:numPr>
        <w:snapToGrid w:val="0"/>
        <w:spacing w:before="120" w:beforeLines="50" w:line="360" w:lineRule="exact"/>
        <w:ind w:left="1700" w:hanging="440"/>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1"/>
        <w:numPr>
          <w:ilvl w:val="1"/>
          <w:numId w:val="4"/>
        </w:numPr>
        <w:snapToGrid w:val="0"/>
        <w:spacing w:before="120" w:beforeLines="50" w:line="360" w:lineRule="exact"/>
        <w:ind w:left="1700" w:hanging="440"/>
        <w:rPr>
          <w:rFonts w:hAnsi="宋体" w:cs="宋体"/>
          <w:sz w:val="22"/>
          <w:szCs w:val="22"/>
        </w:rPr>
      </w:pPr>
      <w:r>
        <w:rPr>
          <w:rFonts w:hint="eastAsia" w:hAnsi="宋体" w:cs="宋体"/>
          <w:sz w:val="22"/>
          <w:szCs w:val="22"/>
        </w:rPr>
        <w:t>本投标报价表中所有金额和单价以人民币结算。</w:t>
      </w:r>
    </w:p>
    <w:p>
      <w:pPr>
        <w:pStyle w:val="21"/>
        <w:numPr>
          <w:ilvl w:val="1"/>
          <w:numId w:val="4"/>
        </w:numPr>
        <w:snapToGrid w:val="0"/>
        <w:spacing w:before="120" w:beforeLines="50" w:line="360" w:lineRule="exact"/>
        <w:ind w:left="1700" w:hanging="440"/>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1"/>
        <w:numPr>
          <w:ilvl w:val="1"/>
          <w:numId w:val="4"/>
        </w:numPr>
        <w:snapToGrid w:val="0"/>
        <w:spacing w:before="120" w:beforeLines="50" w:line="360" w:lineRule="exact"/>
        <w:ind w:left="1700" w:hanging="440"/>
        <w:rPr>
          <w:rFonts w:hAnsi="宋体" w:cs="宋体"/>
          <w:sz w:val="22"/>
          <w:szCs w:val="22"/>
        </w:rPr>
      </w:pPr>
      <w:r>
        <w:rPr>
          <w:rFonts w:hint="eastAsia" w:hAnsi="宋体" w:cs="宋体"/>
          <w:sz w:val="22"/>
          <w:szCs w:val="22"/>
        </w:rPr>
        <w:t>本总则上列各条中提及的“投标人”在合同执行过程中应作为“卖方”解释。</w:t>
      </w:r>
    </w:p>
    <w:p>
      <w:pPr>
        <w:pStyle w:val="21"/>
        <w:numPr>
          <w:ilvl w:val="1"/>
          <w:numId w:val="3"/>
        </w:numPr>
        <w:snapToGrid w:val="0"/>
        <w:spacing w:before="120" w:beforeLines="50" w:line="360" w:lineRule="exact"/>
        <w:ind w:left="1280" w:hanging="440"/>
        <w:rPr>
          <w:rFonts w:hAnsi="宋体" w:cs="宋体"/>
          <w:sz w:val="22"/>
          <w:szCs w:val="22"/>
        </w:rPr>
      </w:pPr>
      <w:r>
        <w:rPr>
          <w:rFonts w:hint="eastAsia" w:hAnsi="宋体" w:cs="宋体"/>
          <w:sz w:val="22"/>
          <w:szCs w:val="22"/>
        </w:rPr>
        <w:t>投标报价表包含以下各表</w:t>
      </w:r>
    </w:p>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(2)每个付款周期应付款项计算表</w:t>
      </w:r>
    </w:p>
    <w:p>
      <w:pPr>
        <w:spacing w:line="440" w:lineRule="exact"/>
        <w:jc w:val="center"/>
        <w:rPr>
          <w:rFonts w:cs="Calibri"/>
          <w:sz w:val="24"/>
        </w:rPr>
      </w:pPr>
      <w:r>
        <w:rPr>
          <w:rFonts w:eastAsia="黑体" w:cs="Calibri"/>
          <w:color w:val="000000"/>
          <w:sz w:val="32"/>
          <w:szCs w:val="32"/>
        </w:rPr>
        <w:br w:type="page"/>
      </w:r>
      <w:r>
        <w:rPr>
          <w:rFonts w:cs="Calibri"/>
          <w:sz w:val="24"/>
        </w:rPr>
        <w:t>4.1</w:t>
      </w:r>
      <w:r>
        <w:rPr>
          <w:rFonts w:hint="eastAsia" w:cs="Calibri"/>
          <w:sz w:val="24"/>
        </w:rPr>
        <w:t>报价汇总表</w:t>
      </w:r>
    </w:p>
    <w:p>
      <w:pPr>
        <w:spacing w:line="360" w:lineRule="auto"/>
        <w:jc w:val="right"/>
        <w:rPr>
          <w:rFonts w:ascii="宋体" w:hAnsi="宋体" w:cs="宋体"/>
          <w:sz w:val="22"/>
        </w:rPr>
      </w:pPr>
      <w:r>
        <w:rPr>
          <w:rFonts w:hint="eastAsia" w:ascii="宋体" w:hAnsi="宋体" w:cs="宋体"/>
          <w:sz w:val="22"/>
        </w:rPr>
        <w:t>[货币单位：人民币元]</w:t>
      </w:r>
    </w:p>
    <w:tbl>
      <w:tblPr>
        <w:tblStyle w:val="53"/>
        <w:tblW w:w="9396" w:type="dxa"/>
        <w:tblInd w:w="0" w:type="dxa"/>
        <w:tblLayout w:type="fixed"/>
        <w:tblCellMar>
          <w:top w:w="0" w:type="dxa"/>
          <w:left w:w="108" w:type="dxa"/>
          <w:bottom w:w="0" w:type="dxa"/>
          <w:right w:w="108" w:type="dxa"/>
        </w:tblCellMar>
      </w:tblPr>
      <w:tblGrid>
        <w:gridCol w:w="459"/>
        <w:gridCol w:w="1738"/>
        <w:gridCol w:w="1094"/>
        <w:gridCol w:w="509"/>
        <w:gridCol w:w="1986"/>
        <w:gridCol w:w="1073"/>
        <w:gridCol w:w="2537"/>
      </w:tblGrid>
      <w:tr>
        <w:tblPrEx>
          <w:tblLayout w:type="fixed"/>
          <w:tblCellMar>
            <w:top w:w="0" w:type="dxa"/>
            <w:left w:w="108" w:type="dxa"/>
            <w:bottom w:w="0" w:type="dxa"/>
            <w:right w:w="108" w:type="dxa"/>
          </w:tblCellMar>
        </w:tblPrEx>
        <w:trPr>
          <w:trHeight w:val="454" w:hRule="atLeast"/>
        </w:trPr>
        <w:tc>
          <w:tcPr>
            <w:tcW w:w="4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
                <w:szCs w:val="21"/>
                <w:lang w:val="zh-CN"/>
              </w:rPr>
            </w:pPr>
            <w:r>
              <w:rPr>
                <w:rFonts w:hint="eastAsia" w:ascii="宋体" w:hAnsi="宋体" w:cs="宋体"/>
                <w:b/>
                <w:szCs w:val="21"/>
                <w:lang w:val="zh-CN"/>
              </w:rPr>
              <w:t>序号</w:t>
            </w:r>
          </w:p>
        </w:tc>
        <w:tc>
          <w:tcPr>
            <w:tcW w:w="17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
                <w:szCs w:val="21"/>
                <w:lang w:val="zh-CN"/>
              </w:rPr>
            </w:pPr>
            <w:r>
              <w:rPr>
                <w:rFonts w:hint="eastAsia" w:ascii="宋体" w:hAnsi="宋体" w:cs="宋体"/>
                <w:b/>
                <w:szCs w:val="21"/>
              </w:rPr>
              <w:t>维保设备名称</w:t>
            </w:r>
          </w:p>
        </w:tc>
        <w:tc>
          <w:tcPr>
            <w:tcW w:w="10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
                <w:szCs w:val="21"/>
                <w:lang w:val="zh-CN"/>
              </w:rPr>
            </w:pPr>
            <w:r>
              <w:rPr>
                <w:rFonts w:hint="eastAsia" w:ascii="宋体" w:hAnsi="宋体" w:cs="宋体"/>
                <w:b/>
                <w:szCs w:val="21"/>
                <w:lang w:val="zh-CN"/>
              </w:rPr>
              <w:t>单价（元，含税）</w:t>
            </w:r>
          </w:p>
        </w:tc>
        <w:tc>
          <w:tcPr>
            <w:tcW w:w="5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
                <w:szCs w:val="21"/>
                <w:lang w:val="zh-CN"/>
              </w:rPr>
            </w:pPr>
            <w:r>
              <w:rPr>
                <w:rFonts w:hint="eastAsia" w:ascii="宋体" w:hAnsi="宋体" w:cs="宋体"/>
                <w:b/>
                <w:szCs w:val="21"/>
                <w:lang w:val="zh-CN"/>
              </w:rPr>
              <w:t>数量</w:t>
            </w:r>
          </w:p>
        </w:tc>
        <w:tc>
          <w:tcPr>
            <w:tcW w:w="198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
                <w:szCs w:val="21"/>
                <w:lang w:val="zh-CN"/>
              </w:rPr>
            </w:pPr>
            <w:r>
              <w:rPr>
                <w:rFonts w:hint="eastAsia" w:ascii="宋体" w:hAnsi="宋体" w:cs="宋体"/>
                <w:b/>
                <w:szCs w:val="21"/>
                <w:lang w:val="zh-CN"/>
              </w:rPr>
              <w:t>合计（元，含税）</w:t>
            </w: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
                <w:szCs w:val="21"/>
                <w:lang w:val="zh-CN"/>
              </w:rPr>
            </w:pPr>
            <w:r>
              <w:rPr>
                <w:rFonts w:ascii="宋体" w:hAnsi="宋体" w:cs="宋体"/>
                <w:b/>
                <w:szCs w:val="21"/>
                <w:lang w:val="zh-CN"/>
              </w:rPr>
              <w:t>税率（%）</w:t>
            </w:r>
            <w:r>
              <w:rPr>
                <w:rFonts w:hint="eastAsia" w:ascii="宋体" w:hAnsi="宋体" w:cs="宋体"/>
                <w:b/>
                <w:szCs w:val="21"/>
                <w:lang w:val="zh-CN"/>
              </w:rPr>
              <w:t xml:space="preserve"> </w:t>
            </w:r>
          </w:p>
        </w:tc>
        <w:tc>
          <w:tcPr>
            <w:tcW w:w="25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
                <w:szCs w:val="21"/>
              </w:rPr>
            </w:pPr>
            <w:r>
              <w:rPr>
                <w:rFonts w:hint="eastAsia" w:ascii="宋体" w:hAnsi="宋体" w:cs="宋体"/>
                <w:b/>
                <w:szCs w:val="21"/>
              </w:rPr>
              <w:t>维保期</w:t>
            </w:r>
          </w:p>
        </w:tc>
      </w:tr>
      <w:tr>
        <w:tblPrEx>
          <w:tblLayout w:type="fixed"/>
          <w:tblCellMar>
            <w:top w:w="0" w:type="dxa"/>
            <w:left w:w="108" w:type="dxa"/>
            <w:bottom w:w="0" w:type="dxa"/>
            <w:right w:w="108" w:type="dxa"/>
          </w:tblCellMar>
        </w:tblPrEx>
        <w:trPr>
          <w:trHeight w:val="454" w:hRule="atLeast"/>
        </w:trPr>
        <w:tc>
          <w:tcPr>
            <w:tcW w:w="4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r>
              <w:rPr>
                <w:rFonts w:hint="eastAsia" w:ascii="宋体" w:hAnsi="宋体" w:cs="宋体"/>
                <w:bCs/>
                <w:szCs w:val="21"/>
                <w:lang w:val="zh-CN"/>
              </w:rPr>
              <w:t>1</w:t>
            </w:r>
          </w:p>
        </w:tc>
        <w:tc>
          <w:tcPr>
            <w:tcW w:w="1738" w:type="dxa"/>
            <w:tcBorders>
              <w:top w:val="single" w:color="auto" w:sz="6" w:space="0"/>
              <w:left w:val="single" w:color="auto" w:sz="6" w:space="0"/>
              <w:bottom w:val="single" w:color="auto" w:sz="6" w:space="0"/>
              <w:right w:val="single" w:color="auto" w:sz="6" w:space="0"/>
            </w:tcBorders>
          </w:tcPr>
          <w:p>
            <w:pPr>
              <w:widowControl/>
              <w:spacing w:line="360" w:lineRule="auto"/>
              <w:jc w:val="left"/>
              <w:rPr>
                <w:rFonts w:ascii="宋体" w:hAnsi="宋体"/>
                <w:kern w:val="0"/>
                <w:szCs w:val="21"/>
              </w:rPr>
            </w:pPr>
            <w:r>
              <w:rPr>
                <w:rFonts w:ascii="宋体" w:hAnsi="宋体"/>
                <w:kern w:val="0"/>
                <w:szCs w:val="21"/>
              </w:rPr>
              <w:t>IBM</w:t>
            </w:r>
            <w:r>
              <w:rPr>
                <w:rFonts w:hint="eastAsia" w:ascii="宋体" w:hAnsi="宋体"/>
                <w:kern w:val="0"/>
                <w:szCs w:val="21"/>
              </w:rPr>
              <w:t xml:space="preserve"> storwize</w:t>
            </w:r>
            <w:r>
              <w:rPr>
                <w:rFonts w:ascii="宋体" w:hAnsi="宋体"/>
                <w:kern w:val="0"/>
                <w:szCs w:val="21"/>
              </w:rPr>
              <w:t xml:space="preserve"> V3700</w:t>
            </w:r>
          </w:p>
        </w:tc>
        <w:tc>
          <w:tcPr>
            <w:tcW w:w="10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509"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cs="宋体"/>
                <w:bCs/>
                <w:szCs w:val="21"/>
                <w:lang w:val="zh-CN"/>
              </w:rPr>
            </w:pPr>
            <w:r>
              <w:rPr>
                <w:rFonts w:hint="eastAsia" w:ascii="宋体" w:hAnsi="宋体"/>
                <w:bCs/>
                <w:kern w:val="0"/>
                <w:szCs w:val="21"/>
              </w:rPr>
              <w:t>1</w:t>
            </w:r>
          </w:p>
        </w:tc>
        <w:tc>
          <w:tcPr>
            <w:tcW w:w="1986"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cs="宋体"/>
                <w:bCs/>
                <w:szCs w:val="21"/>
                <w:lang w:val="zh-CN"/>
              </w:rPr>
            </w:pP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253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kern w:val="0"/>
                <w:szCs w:val="21"/>
              </w:rPr>
            </w:pPr>
            <w:r>
              <w:rPr>
                <w:rFonts w:hint="eastAsia" w:ascii="宋体" w:hAnsi="宋体" w:cs="宋体"/>
              </w:rPr>
              <w:t>3</w:t>
            </w:r>
            <w:r>
              <w:rPr>
                <w:rFonts w:ascii="宋体" w:hAnsi="宋体" w:cs="宋体"/>
              </w:rPr>
              <w:t>6</w:t>
            </w:r>
            <w:r>
              <w:rPr>
                <w:rFonts w:hint="eastAsia" w:ascii="宋体" w:hAnsi="宋体" w:cs="宋体"/>
              </w:rPr>
              <w:t>个月</w:t>
            </w:r>
          </w:p>
        </w:tc>
      </w:tr>
      <w:tr>
        <w:tblPrEx>
          <w:tblLayout w:type="fixed"/>
          <w:tblCellMar>
            <w:top w:w="0" w:type="dxa"/>
            <w:left w:w="108" w:type="dxa"/>
            <w:bottom w:w="0" w:type="dxa"/>
            <w:right w:w="108" w:type="dxa"/>
          </w:tblCellMar>
        </w:tblPrEx>
        <w:trPr>
          <w:trHeight w:val="454" w:hRule="atLeast"/>
        </w:trPr>
        <w:tc>
          <w:tcPr>
            <w:tcW w:w="4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r>
              <w:rPr>
                <w:rFonts w:hint="eastAsia" w:ascii="宋体" w:hAnsi="宋体" w:cs="宋体"/>
                <w:bCs/>
                <w:szCs w:val="21"/>
                <w:lang w:val="zh-CN"/>
              </w:rPr>
              <w:t>2</w:t>
            </w:r>
          </w:p>
        </w:tc>
        <w:tc>
          <w:tcPr>
            <w:tcW w:w="1738" w:type="dxa"/>
            <w:tcBorders>
              <w:top w:val="single" w:color="auto" w:sz="6" w:space="0"/>
              <w:left w:val="single" w:color="auto" w:sz="6" w:space="0"/>
              <w:bottom w:val="single" w:color="auto" w:sz="6" w:space="0"/>
              <w:right w:val="single" w:color="auto" w:sz="6" w:space="0"/>
            </w:tcBorders>
          </w:tcPr>
          <w:p>
            <w:pPr>
              <w:widowControl/>
              <w:spacing w:line="360" w:lineRule="auto"/>
              <w:jc w:val="left"/>
              <w:rPr>
                <w:rFonts w:ascii="宋体" w:hAnsi="宋体"/>
                <w:kern w:val="0"/>
                <w:szCs w:val="21"/>
              </w:rPr>
            </w:pPr>
            <w:r>
              <w:rPr>
                <w:rFonts w:ascii="宋体" w:hAnsi="宋体"/>
                <w:kern w:val="0"/>
                <w:szCs w:val="21"/>
              </w:rPr>
              <w:t>EMC VNX5300</w:t>
            </w:r>
          </w:p>
        </w:tc>
        <w:tc>
          <w:tcPr>
            <w:tcW w:w="10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509"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cs="宋体"/>
                <w:bCs/>
                <w:szCs w:val="21"/>
                <w:lang w:val="zh-CN"/>
              </w:rPr>
            </w:pPr>
            <w:r>
              <w:rPr>
                <w:rFonts w:hint="eastAsia" w:ascii="宋体" w:hAnsi="宋体"/>
                <w:bCs/>
                <w:kern w:val="0"/>
                <w:szCs w:val="21"/>
              </w:rPr>
              <w:t>1</w:t>
            </w:r>
          </w:p>
        </w:tc>
        <w:tc>
          <w:tcPr>
            <w:tcW w:w="1986"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cs="宋体"/>
                <w:bCs/>
                <w:szCs w:val="21"/>
                <w:lang w:val="zh-CN"/>
              </w:rPr>
            </w:pP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253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kern w:val="0"/>
                <w:szCs w:val="21"/>
              </w:rPr>
            </w:pPr>
            <w:r>
              <w:rPr>
                <w:rFonts w:hint="eastAsia" w:ascii="宋体" w:hAnsi="宋体" w:cs="宋体"/>
              </w:rPr>
              <w:t>3</w:t>
            </w:r>
            <w:r>
              <w:rPr>
                <w:rFonts w:ascii="宋体" w:hAnsi="宋体" w:cs="宋体"/>
              </w:rPr>
              <w:t>6</w:t>
            </w:r>
            <w:r>
              <w:rPr>
                <w:rFonts w:hint="eastAsia" w:ascii="宋体" w:hAnsi="宋体" w:cs="宋体"/>
              </w:rPr>
              <w:t>个月</w:t>
            </w:r>
          </w:p>
        </w:tc>
      </w:tr>
      <w:tr>
        <w:tblPrEx>
          <w:tblLayout w:type="fixed"/>
          <w:tblCellMar>
            <w:top w:w="0" w:type="dxa"/>
            <w:left w:w="108" w:type="dxa"/>
            <w:bottom w:w="0" w:type="dxa"/>
            <w:right w:w="108" w:type="dxa"/>
          </w:tblCellMar>
        </w:tblPrEx>
        <w:trPr>
          <w:trHeight w:val="454" w:hRule="atLeast"/>
        </w:trPr>
        <w:tc>
          <w:tcPr>
            <w:tcW w:w="4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r>
              <w:rPr>
                <w:rFonts w:hint="eastAsia" w:ascii="宋体" w:hAnsi="宋体" w:cs="宋体"/>
                <w:bCs/>
                <w:szCs w:val="21"/>
                <w:lang w:val="zh-CN"/>
              </w:rPr>
              <w:t>3</w:t>
            </w:r>
          </w:p>
        </w:tc>
        <w:tc>
          <w:tcPr>
            <w:tcW w:w="1738" w:type="dxa"/>
            <w:tcBorders>
              <w:top w:val="single" w:color="auto" w:sz="6" w:space="0"/>
              <w:left w:val="single" w:color="auto" w:sz="6" w:space="0"/>
              <w:bottom w:val="single" w:color="auto" w:sz="6" w:space="0"/>
              <w:right w:val="single" w:color="auto" w:sz="6" w:space="0"/>
            </w:tcBorders>
          </w:tcPr>
          <w:p>
            <w:pPr>
              <w:widowControl/>
              <w:spacing w:line="360" w:lineRule="auto"/>
              <w:jc w:val="left"/>
              <w:rPr>
                <w:rFonts w:ascii="宋体" w:hAnsi="宋体"/>
                <w:kern w:val="0"/>
                <w:szCs w:val="21"/>
              </w:rPr>
            </w:pPr>
            <w:r>
              <w:rPr>
                <w:rFonts w:ascii="宋体" w:hAnsi="宋体"/>
                <w:kern w:val="0"/>
                <w:szCs w:val="21"/>
              </w:rPr>
              <w:t xml:space="preserve">IBM </w:t>
            </w:r>
            <w:r>
              <w:rPr>
                <w:rFonts w:hint="eastAsia" w:ascii="宋体" w:hAnsi="宋体"/>
                <w:kern w:val="0"/>
                <w:szCs w:val="21"/>
              </w:rPr>
              <w:t xml:space="preserve">storwize </w:t>
            </w:r>
            <w:r>
              <w:rPr>
                <w:rFonts w:ascii="宋体" w:hAnsi="宋体"/>
                <w:kern w:val="0"/>
                <w:szCs w:val="21"/>
              </w:rPr>
              <w:t>V3500</w:t>
            </w:r>
          </w:p>
        </w:tc>
        <w:tc>
          <w:tcPr>
            <w:tcW w:w="10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509"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cs="宋体"/>
                <w:bCs/>
                <w:szCs w:val="21"/>
                <w:lang w:val="zh-CN"/>
              </w:rPr>
            </w:pPr>
            <w:r>
              <w:rPr>
                <w:rFonts w:hint="eastAsia" w:ascii="宋体" w:hAnsi="宋体"/>
                <w:bCs/>
                <w:kern w:val="0"/>
                <w:szCs w:val="21"/>
              </w:rPr>
              <w:t>1</w:t>
            </w:r>
          </w:p>
        </w:tc>
        <w:tc>
          <w:tcPr>
            <w:tcW w:w="1986"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cs="宋体"/>
                <w:bCs/>
                <w:szCs w:val="21"/>
                <w:lang w:val="zh-CN"/>
              </w:rPr>
            </w:pP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253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kern w:val="0"/>
                <w:szCs w:val="21"/>
              </w:rPr>
            </w:pPr>
            <w:r>
              <w:rPr>
                <w:rFonts w:hint="eastAsia" w:ascii="宋体" w:hAnsi="宋体" w:cs="宋体"/>
              </w:rPr>
              <w:t>3</w:t>
            </w:r>
            <w:r>
              <w:rPr>
                <w:rFonts w:ascii="宋体" w:hAnsi="宋体" w:cs="宋体"/>
              </w:rPr>
              <w:t>6</w:t>
            </w:r>
            <w:r>
              <w:rPr>
                <w:rFonts w:hint="eastAsia" w:ascii="宋体" w:hAnsi="宋体" w:cs="宋体"/>
              </w:rPr>
              <w:t>个月</w:t>
            </w:r>
          </w:p>
        </w:tc>
      </w:tr>
      <w:tr>
        <w:tblPrEx>
          <w:tblLayout w:type="fixed"/>
          <w:tblCellMar>
            <w:top w:w="0" w:type="dxa"/>
            <w:left w:w="108" w:type="dxa"/>
            <w:bottom w:w="0" w:type="dxa"/>
            <w:right w:w="108" w:type="dxa"/>
          </w:tblCellMar>
        </w:tblPrEx>
        <w:trPr>
          <w:trHeight w:val="454" w:hRule="atLeast"/>
        </w:trPr>
        <w:tc>
          <w:tcPr>
            <w:tcW w:w="4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rPr>
            </w:pPr>
            <w:r>
              <w:rPr>
                <w:rFonts w:hint="eastAsia" w:ascii="宋体" w:hAnsi="宋体" w:cs="宋体"/>
                <w:bCs/>
                <w:szCs w:val="21"/>
              </w:rPr>
              <w:t>4</w:t>
            </w:r>
          </w:p>
        </w:tc>
        <w:tc>
          <w:tcPr>
            <w:tcW w:w="1738" w:type="dxa"/>
            <w:tcBorders>
              <w:top w:val="single" w:color="auto" w:sz="6" w:space="0"/>
              <w:left w:val="single" w:color="auto" w:sz="6" w:space="0"/>
              <w:bottom w:val="single" w:color="auto" w:sz="6" w:space="0"/>
              <w:right w:val="single" w:color="auto" w:sz="6" w:space="0"/>
            </w:tcBorders>
          </w:tcPr>
          <w:p>
            <w:pPr>
              <w:widowControl/>
              <w:spacing w:line="360" w:lineRule="auto"/>
              <w:jc w:val="left"/>
              <w:rPr>
                <w:rFonts w:ascii="宋体" w:hAnsi="宋体"/>
                <w:kern w:val="0"/>
                <w:szCs w:val="21"/>
              </w:rPr>
            </w:pPr>
            <w:r>
              <w:rPr>
                <w:rFonts w:ascii="宋体" w:hAnsi="宋体"/>
                <w:color w:val="000000"/>
                <w:kern w:val="0"/>
                <w:szCs w:val="21"/>
              </w:rPr>
              <w:t xml:space="preserve">IBM </w:t>
            </w:r>
            <w:r>
              <w:rPr>
                <w:rFonts w:hint="eastAsia" w:ascii="宋体" w:hAnsi="宋体"/>
                <w:color w:val="000000"/>
                <w:kern w:val="0"/>
                <w:szCs w:val="21"/>
              </w:rPr>
              <w:t xml:space="preserve">storwize </w:t>
            </w:r>
            <w:r>
              <w:rPr>
                <w:rFonts w:ascii="宋体" w:hAnsi="宋体"/>
                <w:color w:val="000000"/>
                <w:kern w:val="0"/>
                <w:szCs w:val="21"/>
              </w:rPr>
              <w:t>V3500</w:t>
            </w:r>
          </w:p>
        </w:tc>
        <w:tc>
          <w:tcPr>
            <w:tcW w:w="10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509"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bCs/>
                <w:kern w:val="0"/>
                <w:szCs w:val="21"/>
              </w:rPr>
            </w:pPr>
            <w:r>
              <w:rPr>
                <w:rFonts w:hint="eastAsia" w:ascii="宋体" w:hAnsi="宋体"/>
                <w:bCs/>
                <w:kern w:val="0"/>
                <w:szCs w:val="21"/>
              </w:rPr>
              <w:t>1</w:t>
            </w:r>
          </w:p>
        </w:tc>
        <w:tc>
          <w:tcPr>
            <w:tcW w:w="1986"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bCs/>
                <w:kern w:val="0"/>
                <w:szCs w:val="21"/>
              </w:rPr>
            </w:pP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253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kern w:val="0"/>
                <w:szCs w:val="21"/>
              </w:rPr>
            </w:pPr>
            <w:r>
              <w:rPr>
                <w:rFonts w:hint="eastAsia" w:ascii="宋体" w:hAnsi="宋体" w:cs="宋体"/>
              </w:rPr>
              <w:t>3</w:t>
            </w:r>
            <w:r>
              <w:rPr>
                <w:rFonts w:ascii="宋体" w:hAnsi="宋体" w:cs="宋体"/>
              </w:rPr>
              <w:t>6</w:t>
            </w:r>
            <w:r>
              <w:rPr>
                <w:rFonts w:hint="eastAsia" w:ascii="宋体" w:hAnsi="宋体" w:cs="宋体"/>
              </w:rPr>
              <w:t>个月</w:t>
            </w:r>
          </w:p>
        </w:tc>
      </w:tr>
      <w:tr>
        <w:tblPrEx>
          <w:tblLayout w:type="fixed"/>
          <w:tblCellMar>
            <w:top w:w="0" w:type="dxa"/>
            <w:left w:w="108" w:type="dxa"/>
            <w:bottom w:w="0" w:type="dxa"/>
            <w:right w:w="108" w:type="dxa"/>
          </w:tblCellMar>
        </w:tblPrEx>
        <w:trPr>
          <w:trHeight w:val="454" w:hRule="atLeast"/>
        </w:trPr>
        <w:tc>
          <w:tcPr>
            <w:tcW w:w="4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r>
              <w:rPr>
                <w:rFonts w:hint="eastAsia" w:ascii="宋体" w:hAnsi="宋体" w:cs="宋体"/>
                <w:bCs/>
                <w:szCs w:val="21"/>
              </w:rPr>
              <w:t>5</w:t>
            </w:r>
          </w:p>
        </w:tc>
        <w:tc>
          <w:tcPr>
            <w:tcW w:w="1738" w:type="dxa"/>
            <w:tcBorders>
              <w:top w:val="single" w:color="auto" w:sz="6" w:space="0"/>
              <w:left w:val="single" w:color="auto" w:sz="6" w:space="0"/>
              <w:bottom w:val="single" w:color="auto" w:sz="6" w:space="0"/>
              <w:right w:val="single" w:color="auto" w:sz="6" w:space="0"/>
            </w:tcBorders>
          </w:tcPr>
          <w:p>
            <w:pPr>
              <w:widowControl/>
              <w:spacing w:line="360" w:lineRule="auto"/>
              <w:jc w:val="left"/>
              <w:rPr>
                <w:rFonts w:ascii="宋体" w:hAnsi="宋体"/>
                <w:kern w:val="0"/>
                <w:szCs w:val="21"/>
              </w:rPr>
            </w:pPr>
            <w:r>
              <w:rPr>
                <w:rFonts w:hint="eastAsia" w:ascii="宋体" w:hAnsi="宋体"/>
                <w:kern w:val="0"/>
                <w:szCs w:val="21"/>
              </w:rPr>
              <w:t>IBM V3400</w:t>
            </w:r>
          </w:p>
        </w:tc>
        <w:tc>
          <w:tcPr>
            <w:tcW w:w="10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509"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cs="宋体"/>
                <w:bCs/>
                <w:szCs w:val="21"/>
                <w:lang w:val="zh-CN"/>
              </w:rPr>
            </w:pPr>
            <w:r>
              <w:rPr>
                <w:rFonts w:hint="eastAsia" w:ascii="宋体" w:hAnsi="宋体"/>
                <w:bCs/>
                <w:kern w:val="0"/>
                <w:szCs w:val="21"/>
              </w:rPr>
              <w:t>1</w:t>
            </w:r>
          </w:p>
        </w:tc>
        <w:tc>
          <w:tcPr>
            <w:tcW w:w="1986"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cs="宋体"/>
                <w:bCs/>
                <w:szCs w:val="21"/>
                <w:lang w:val="zh-CN"/>
              </w:rPr>
            </w:pP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253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kern w:val="0"/>
                <w:szCs w:val="21"/>
              </w:rPr>
            </w:pPr>
            <w:r>
              <w:rPr>
                <w:rFonts w:hint="eastAsia" w:ascii="宋体" w:hAnsi="宋体" w:cs="宋体"/>
              </w:rPr>
              <w:t>3</w:t>
            </w:r>
            <w:r>
              <w:rPr>
                <w:rFonts w:ascii="宋体" w:hAnsi="宋体" w:cs="宋体"/>
              </w:rPr>
              <w:t>6</w:t>
            </w:r>
            <w:r>
              <w:rPr>
                <w:rFonts w:hint="eastAsia" w:ascii="宋体" w:hAnsi="宋体" w:cs="宋体"/>
              </w:rPr>
              <w:t>个月</w:t>
            </w:r>
          </w:p>
        </w:tc>
      </w:tr>
      <w:tr>
        <w:tblPrEx>
          <w:tblLayout w:type="fixed"/>
          <w:tblCellMar>
            <w:top w:w="0" w:type="dxa"/>
            <w:left w:w="108" w:type="dxa"/>
            <w:bottom w:w="0" w:type="dxa"/>
            <w:right w:w="108" w:type="dxa"/>
          </w:tblCellMar>
        </w:tblPrEx>
        <w:trPr>
          <w:trHeight w:val="454" w:hRule="atLeast"/>
        </w:trPr>
        <w:tc>
          <w:tcPr>
            <w:tcW w:w="4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rPr>
            </w:pPr>
            <w:r>
              <w:rPr>
                <w:rFonts w:hint="eastAsia" w:ascii="宋体" w:hAnsi="宋体" w:cs="宋体"/>
                <w:bCs/>
                <w:szCs w:val="21"/>
              </w:rPr>
              <w:t>6</w:t>
            </w:r>
          </w:p>
        </w:tc>
        <w:tc>
          <w:tcPr>
            <w:tcW w:w="1738" w:type="dxa"/>
            <w:tcBorders>
              <w:top w:val="single" w:color="auto" w:sz="6" w:space="0"/>
              <w:left w:val="single" w:color="auto" w:sz="6" w:space="0"/>
              <w:bottom w:val="single" w:color="auto" w:sz="6" w:space="0"/>
              <w:right w:val="single" w:color="auto" w:sz="6" w:space="0"/>
            </w:tcBorders>
          </w:tcPr>
          <w:p>
            <w:pPr>
              <w:widowControl/>
              <w:spacing w:line="360" w:lineRule="auto"/>
              <w:jc w:val="left"/>
              <w:rPr>
                <w:rFonts w:ascii="宋体" w:hAnsi="宋体"/>
                <w:color w:val="000000"/>
                <w:kern w:val="0"/>
                <w:szCs w:val="21"/>
              </w:rPr>
            </w:pPr>
            <w:r>
              <w:rPr>
                <w:rFonts w:ascii="宋体" w:hAnsi="宋体"/>
                <w:color w:val="000000"/>
                <w:kern w:val="0"/>
                <w:szCs w:val="21"/>
              </w:rPr>
              <w:t>O</w:t>
            </w:r>
            <w:r>
              <w:rPr>
                <w:rFonts w:hint="eastAsia" w:ascii="宋体" w:hAnsi="宋体"/>
                <w:color w:val="000000"/>
                <w:kern w:val="0"/>
                <w:szCs w:val="21"/>
              </w:rPr>
              <w:t>racle</w:t>
            </w:r>
            <w:r>
              <w:rPr>
                <w:rFonts w:ascii="宋体" w:hAnsi="宋体"/>
                <w:color w:val="000000"/>
                <w:kern w:val="0"/>
                <w:szCs w:val="21"/>
              </w:rPr>
              <w:t xml:space="preserve"> 11g</w:t>
            </w:r>
          </w:p>
        </w:tc>
        <w:tc>
          <w:tcPr>
            <w:tcW w:w="10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509"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bCs/>
                <w:kern w:val="0"/>
                <w:szCs w:val="21"/>
              </w:rPr>
            </w:pPr>
            <w:r>
              <w:rPr>
                <w:rFonts w:hint="eastAsia" w:ascii="宋体" w:hAnsi="宋体"/>
                <w:bCs/>
                <w:kern w:val="0"/>
                <w:szCs w:val="21"/>
              </w:rPr>
              <w:t>1</w:t>
            </w:r>
          </w:p>
        </w:tc>
        <w:tc>
          <w:tcPr>
            <w:tcW w:w="1986"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bCs/>
                <w:kern w:val="0"/>
                <w:szCs w:val="21"/>
              </w:rPr>
            </w:pP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253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kern w:val="0"/>
                <w:szCs w:val="21"/>
              </w:rPr>
            </w:pPr>
            <w:r>
              <w:rPr>
                <w:rFonts w:hint="eastAsia" w:ascii="宋体" w:hAnsi="宋体" w:cs="宋体"/>
              </w:rPr>
              <w:t>3</w:t>
            </w:r>
            <w:r>
              <w:rPr>
                <w:rFonts w:ascii="宋体" w:hAnsi="宋体" w:cs="宋体"/>
              </w:rPr>
              <w:t>6</w:t>
            </w:r>
            <w:r>
              <w:rPr>
                <w:rFonts w:hint="eastAsia" w:ascii="宋体" w:hAnsi="宋体" w:cs="宋体"/>
              </w:rPr>
              <w:t>个月</w:t>
            </w:r>
          </w:p>
        </w:tc>
      </w:tr>
      <w:tr>
        <w:tblPrEx>
          <w:tblLayout w:type="fixed"/>
          <w:tblCellMar>
            <w:top w:w="0" w:type="dxa"/>
            <w:left w:w="108" w:type="dxa"/>
            <w:bottom w:w="0" w:type="dxa"/>
            <w:right w:w="108" w:type="dxa"/>
          </w:tblCellMar>
        </w:tblPrEx>
        <w:trPr>
          <w:trHeight w:val="454" w:hRule="atLeast"/>
        </w:trPr>
        <w:tc>
          <w:tcPr>
            <w:tcW w:w="4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rPr>
            </w:pPr>
            <w:r>
              <w:rPr>
                <w:rFonts w:hint="eastAsia" w:ascii="宋体" w:hAnsi="宋体" w:cs="宋体"/>
                <w:bCs/>
                <w:szCs w:val="21"/>
              </w:rPr>
              <w:t>7</w:t>
            </w:r>
          </w:p>
        </w:tc>
        <w:tc>
          <w:tcPr>
            <w:tcW w:w="1738" w:type="dxa"/>
            <w:tcBorders>
              <w:top w:val="single" w:color="auto" w:sz="6" w:space="0"/>
              <w:left w:val="single" w:color="auto" w:sz="6" w:space="0"/>
              <w:bottom w:val="single" w:color="auto" w:sz="6" w:space="0"/>
              <w:right w:val="single" w:color="auto" w:sz="6" w:space="0"/>
            </w:tcBorders>
          </w:tcPr>
          <w:p>
            <w:pPr>
              <w:widowControl/>
              <w:spacing w:line="360" w:lineRule="auto"/>
              <w:jc w:val="left"/>
              <w:rPr>
                <w:rFonts w:ascii="宋体" w:hAnsi="宋体"/>
                <w:color w:val="000000"/>
                <w:kern w:val="0"/>
                <w:szCs w:val="21"/>
              </w:rPr>
            </w:pPr>
            <w:r>
              <w:rPr>
                <w:rFonts w:hint="eastAsia" w:ascii="宋体" w:hAnsi="宋体"/>
                <w:color w:val="000000"/>
                <w:kern w:val="0"/>
                <w:szCs w:val="21"/>
              </w:rPr>
              <w:t xml:space="preserve">IBM 存储 </w:t>
            </w:r>
            <w:r>
              <w:rPr>
                <w:rFonts w:ascii="宋体" w:hAnsi="宋体"/>
                <w:color w:val="000000"/>
                <w:kern w:val="0"/>
                <w:szCs w:val="21"/>
              </w:rPr>
              <w:t>DS5020</w:t>
            </w:r>
          </w:p>
        </w:tc>
        <w:tc>
          <w:tcPr>
            <w:tcW w:w="10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509"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cs="宋体"/>
                <w:bCs/>
                <w:szCs w:val="21"/>
                <w:lang w:val="zh-CN"/>
              </w:rPr>
            </w:pPr>
            <w:r>
              <w:rPr>
                <w:rFonts w:hint="eastAsia" w:ascii="宋体" w:hAnsi="宋体"/>
                <w:bCs/>
                <w:kern w:val="0"/>
                <w:szCs w:val="21"/>
              </w:rPr>
              <w:t>1</w:t>
            </w:r>
          </w:p>
        </w:tc>
        <w:tc>
          <w:tcPr>
            <w:tcW w:w="1986"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cs="宋体"/>
                <w:bCs/>
                <w:szCs w:val="21"/>
                <w:lang w:val="zh-CN"/>
              </w:rPr>
            </w:pP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253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kern w:val="0"/>
                <w:szCs w:val="21"/>
              </w:rPr>
            </w:pPr>
            <w:r>
              <w:rPr>
                <w:rFonts w:hint="eastAsia" w:ascii="宋体" w:hAnsi="宋体" w:cs="宋体"/>
              </w:rPr>
              <w:t>3</w:t>
            </w:r>
            <w:r>
              <w:rPr>
                <w:rFonts w:ascii="宋体" w:hAnsi="宋体" w:cs="宋体"/>
              </w:rPr>
              <w:t>6</w:t>
            </w:r>
            <w:r>
              <w:rPr>
                <w:rFonts w:hint="eastAsia" w:ascii="宋体" w:hAnsi="宋体" w:cs="宋体"/>
              </w:rPr>
              <w:t>个月</w:t>
            </w:r>
          </w:p>
        </w:tc>
      </w:tr>
      <w:tr>
        <w:tblPrEx>
          <w:tblLayout w:type="fixed"/>
          <w:tblCellMar>
            <w:top w:w="0" w:type="dxa"/>
            <w:left w:w="108" w:type="dxa"/>
            <w:bottom w:w="0" w:type="dxa"/>
            <w:right w:w="108" w:type="dxa"/>
          </w:tblCellMar>
        </w:tblPrEx>
        <w:trPr>
          <w:trHeight w:val="454" w:hRule="atLeast"/>
        </w:trPr>
        <w:tc>
          <w:tcPr>
            <w:tcW w:w="4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rPr>
            </w:pPr>
            <w:r>
              <w:rPr>
                <w:rFonts w:hint="eastAsia" w:ascii="宋体" w:hAnsi="宋体" w:cs="宋体"/>
                <w:bCs/>
                <w:szCs w:val="21"/>
              </w:rPr>
              <w:t>8</w:t>
            </w:r>
          </w:p>
        </w:tc>
        <w:tc>
          <w:tcPr>
            <w:tcW w:w="1738" w:type="dxa"/>
            <w:tcBorders>
              <w:top w:val="single" w:color="auto" w:sz="6" w:space="0"/>
              <w:left w:val="single" w:color="auto" w:sz="6" w:space="0"/>
              <w:bottom w:val="single" w:color="auto" w:sz="6" w:space="0"/>
              <w:right w:val="single" w:color="auto" w:sz="6" w:space="0"/>
            </w:tcBorders>
          </w:tcPr>
          <w:p>
            <w:pPr>
              <w:widowControl/>
              <w:spacing w:line="360" w:lineRule="auto"/>
              <w:jc w:val="left"/>
              <w:rPr>
                <w:rFonts w:ascii="宋体" w:hAnsi="宋体"/>
                <w:color w:val="000000"/>
                <w:kern w:val="0"/>
                <w:szCs w:val="21"/>
              </w:rPr>
            </w:pPr>
            <w:r>
              <w:rPr>
                <w:rFonts w:ascii="宋体" w:hAnsi="宋体"/>
                <w:color w:val="000000"/>
                <w:kern w:val="0"/>
                <w:szCs w:val="21"/>
              </w:rPr>
              <w:t>IBM System p550</w:t>
            </w:r>
          </w:p>
        </w:tc>
        <w:tc>
          <w:tcPr>
            <w:tcW w:w="10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509"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cs="宋体"/>
                <w:bCs/>
                <w:szCs w:val="21"/>
                <w:lang w:val="zh-CN"/>
              </w:rPr>
            </w:pPr>
            <w:r>
              <w:rPr>
                <w:rFonts w:ascii="宋体" w:hAnsi="宋体"/>
                <w:bCs/>
                <w:kern w:val="0"/>
                <w:szCs w:val="21"/>
              </w:rPr>
              <w:t>2</w:t>
            </w:r>
          </w:p>
        </w:tc>
        <w:tc>
          <w:tcPr>
            <w:tcW w:w="1986"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cs="宋体"/>
                <w:bCs/>
                <w:szCs w:val="21"/>
                <w:lang w:val="zh-CN"/>
              </w:rPr>
            </w:pP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253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kern w:val="0"/>
                <w:szCs w:val="21"/>
              </w:rPr>
            </w:pPr>
            <w:r>
              <w:rPr>
                <w:rFonts w:hint="eastAsia" w:ascii="宋体" w:hAnsi="宋体" w:cs="宋体"/>
              </w:rPr>
              <w:t>3</w:t>
            </w:r>
            <w:r>
              <w:rPr>
                <w:rFonts w:ascii="宋体" w:hAnsi="宋体" w:cs="宋体"/>
              </w:rPr>
              <w:t>6</w:t>
            </w:r>
            <w:r>
              <w:rPr>
                <w:rFonts w:hint="eastAsia" w:ascii="宋体" w:hAnsi="宋体" w:cs="宋体"/>
              </w:rPr>
              <w:t>个月</w:t>
            </w:r>
          </w:p>
        </w:tc>
      </w:tr>
      <w:tr>
        <w:tblPrEx>
          <w:tblLayout w:type="fixed"/>
          <w:tblCellMar>
            <w:top w:w="0" w:type="dxa"/>
            <w:left w:w="108" w:type="dxa"/>
            <w:bottom w:w="0" w:type="dxa"/>
            <w:right w:w="108" w:type="dxa"/>
          </w:tblCellMar>
        </w:tblPrEx>
        <w:trPr>
          <w:trHeight w:val="454" w:hRule="atLeast"/>
        </w:trPr>
        <w:tc>
          <w:tcPr>
            <w:tcW w:w="4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rPr>
            </w:pPr>
            <w:r>
              <w:rPr>
                <w:rFonts w:ascii="宋体" w:hAnsi="宋体" w:cs="宋体"/>
                <w:bCs/>
                <w:szCs w:val="21"/>
              </w:rPr>
              <w:t>9</w:t>
            </w:r>
          </w:p>
        </w:tc>
        <w:tc>
          <w:tcPr>
            <w:tcW w:w="1738" w:type="dxa"/>
            <w:tcBorders>
              <w:top w:val="single" w:color="auto" w:sz="6" w:space="0"/>
              <w:left w:val="single" w:color="auto" w:sz="6" w:space="0"/>
              <w:bottom w:val="single" w:color="auto" w:sz="6" w:space="0"/>
              <w:right w:val="single" w:color="auto" w:sz="6" w:space="0"/>
            </w:tcBorders>
          </w:tcPr>
          <w:p>
            <w:pPr>
              <w:widowControl/>
              <w:spacing w:line="360" w:lineRule="auto"/>
              <w:jc w:val="left"/>
              <w:rPr>
                <w:rFonts w:ascii="宋体" w:hAnsi="宋体"/>
                <w:color w:val="000000"/>
                <w:kern w:val="0"/>
                <w:szCs w:val="21"/>
              </w:rPr>
            </w:pPr>
            <w:r>
              <w:rPr>
                <w:rFonts w:ascii="宋体" w:hAnsi="宋体"/>
                <w:color w:val="000000"/>
                <w:kern w:val="0"/>
                <w:szCs w:val="21"/>
              </w:rPr>
              <w:t>IBM System p5</w:t>
            </w:r>
          </w:p>
        </w:tc>
        <w:tc>
          <w:tcPr>
            <w:tcW w:w="10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509"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cs="宋体"/>
                <w:bCs/>
                <w:szCs w:val="21"/>
                <w:lang w:val="zh-CN"/>
              </w:rPr>
            </w:pPr>
            <w:r>
              <w:rPr>
                <w:rFonts w:hint="eastAsia" w:ascii="宋体" w:hAnsi="宋体"/>
                <w:bCs/>
                <w:kern w:val="0"/>
                <w:szCs w:val="21"/>
              </w:rPr>
              <w:t>2</w:t>
            </w:r>
          </w:p>
        </w:tc>
        <w:tc>
          <w:tcPr>
            <w:tcW w:w="1986"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cs="宋体"/>
                <w:bCs/>
                <w:szCs w:val="21"/>
                <w:lang w:val="zh-CN"/>
              </w:rPr>
            </w:pP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253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kern w:val="0"/>
                <w:szCs w:val="21"/>
              </w:rPr>
            </w:pPr>
            <w:r>
              <w:rPr>
                <w:rFonts w:hint="eastAsia" w:ascii="宋体" w:hAnsi="宋体" w:cs="宋体"/>
              </w:rPr>
              <w:t>3</w:t>
            </w:r>
            <w:r>
              <w:rPr>
                <w:rFonts w:ascii="宋体" w:hAnsi="宋体" w:cs="宋体"/>
              </w:rPr>
              <w:t>6</w:t>
            </w:r>
            <w:r>
              <w:rPr>
                <w:rFonts w:hint="eastAsia" w:ascii="宋体" w:hAnsi="宋体" w:cs="宋体"/>
              </w:rPr>
              <w:t>个月</w:t>
            </w:r>
          </w:p>
        </w:tc>
      </w:tr>
      <w:tr>
        <w:tblPrEx>
          <w:tblLayout w:type="fixed"/>
          <w:tblCellMar>
            <w:top w:w="0" w:type="dxa"/>
            <w:left w:w="108" w:type="dxa"/>
            <w:bottom w:w="0" w:type="dxa"/>
            <w:right w:w="108" w:type="dxa"/>
          </w:tblCellMar>
        </w:tblPrEx>
        <w:trPr>
          <w:trHeight w:val="454" w:hRule="atLeast"/>
        </w:trPr>
        <w:tc>
          <w:tcPr>
            <w:tcW w:w="4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rPr>
            </w:pPr>
            <w:r>
              <w:rPr>
                <w:rFonts w:ascii="宋体" w:hAnsi="宋体" w:cs="宋体"/>
                <w:bCs/>
                <w:szCs w:val="21"/>
              </w:rPr>
              <w:t>10</w:t>
            </w:r>
          </w:p>
        </w:tc>
        <w:tc>
          <w:tcPr>
            <w:tcW w:w="1738" w:type="dxa"/>
            <w:tcBorders>
              <w:top w:val="single" w:color="auto" w:sz="6" w:space="0"/>
              <w:left w:val="single" w:color="auto" w:sz="6" w:space="0"/>
              <w:bottom w:val="single" w:color="auto" w:sz="6" w:space="0"/>
              <w:right w:val="single" w:color="auto" w:sz="6" w:space="0"/>
            </w:tcBorders>
          </w:tcPr>
          <w:p>
            <w:pPr>
              <w:widowControl/>
              <w:spacing w:line="360" w:lineRule="auto"/>
              <w:jc w:val="left"/>
              <w:rPr>
                <w:rFonts w:ascii="宋体" w:hAnsi="宋体"/>
                <w:color w:val="000000"/>
                <w:kern w:val="0"/>
                <w:szCs w:val="21"/>
              </w:rPr>
            </w:pPr>
            <w:r>
              <w:rPr>
                <w:rFonts w:hint="eastAsia" w:ascii="宋体" w:hAnsi="宋体"/>
                <w:color w:val="000000"/>
                <w:kern w:val="0"/>
                <w:szCs w:val="21"/>
              </w:rPr>
              <w:t xml:space="preserve">IBM 存储 </w:t>
            </w:r>
            <w:r>
              <w:rPr>
                <w:rFonts w:ascii="宋体" w:hAnsi="宋体"/>
                <w:color w:val="000000"/>
                <w:kern w:val="0"/>
                <w:szCs w:val="21"/>
              </w:rPr>
              <w:t>DS4700</w:t>
            </w:r>
          </w:p>
        </w:tc>
        <w:tc>
          <w:tcPr>
            <w:tcW w:w="10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509"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cs="宋体"/>
                <w:bCs/>
                <w:szCs w:val="21"/>
                <w:lang w:val="zh-CN"/>
              </w:rPr>
            </w:pPr>
            <w:r>
              <w:rPr>
                <w:rFonts w:hint="eastAsia" w:ascii="宋体" w:hAnsi="宋体"/>
                <w:bCs/>
                <w:kern w:val="0"/>
                <w:szCs w:val="21"/>
              </w:rPr>
              <w:t>1</w:t>
            </w:r>
          </w:p>
        </w:tc>
        <w:tc>
          <w:tcPr>
            <w:tcW w:w="1986"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cs="宋体"/>
                <w:bCs/>
                <w:szCs w:val="21"/>
                <w:lang w:val="zh-CN"/>
              </w:rPr>
            </w:pP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253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kern w:val="0"/>
                <w:szCs w:val="21"/>
              </w:rPr>
            </w:pPr>
            <w:r>
              <w:rPr>
                <w:rFonts w:hint="eastAsia" w:ascii="宋体" w:hAnsi="宋体" w:cs="宋体"/>
              </w:rPr>
              <w:t>3</w:t>
            </w:r>
            <w:r>
              <w:rPr>
                <w:rFonts w:ascii="宋体" w:hAnsi="宋体" w:cs="宋体"/>
              </w:rPr>
              <w:t>6</w:t>
            </w:r>
            <w:r>
              <w:rPr>
                <w:rFonts w:hint="eastAsia" w:ascii="宋体" w:hAnsi="宋体" w:cs="宋体"/>
              </w:rPr>
              <w:t>个月</w:t>
            </w:r>
          </w:p>
        </w:tc>
      </w:tr>
      <w:tr>
        <w:tblPrEx>
          <w:tblLayout w:type="fixed"/>
          <w:tblCellMar>
            <w:top w:w="0" w:type="dxa"/>
            <w:left w:w="108" w:type="dxa"/>
            <w:bottom w:w="0" w:type="dxa"/>
            <w:right w:w="108" w:type="dxa"/>
          </w:tblCellMar>
        </w:tblPrEx>
        <w:trPr>
          <w:trHeight w:val="454" w:hRule="atLeast"/>
        </w:trPr>
        <w:tc>
          <w:tcPr>
            <w:tcW w:w="4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rPr>
            </w:pPr>
            <w:r>
              <w:rPr>
                <w:rFonts w:hint="eastAsia" w:ascii="宋体" w:hAnsi="宋体" w:cs="宋体"/>
                <w:bCs/>
                <w:szCs w:val="21"/>
              </w:rPr>
              <w:t>11</w:t>
            </w:r>
          </w:p>
        </w:tc>
        <w:tc>
          <w:tcPr>
            <w:tcW w:w="1738" w:type="dxa"/>
            <w:tcBorders>
              <w:top w:val="single" w:color="auto" w:sz="6" w:space="0"/>
              <w:left w:val="single" w:color="auto" w:sz="6" w:space="0"/>
              <w:bottom w:val="single" w:color="auto" w:sz="6" w:space="0"/>
              <w:right w:val="single" w:color="auto" w:sz="6" w:space="0"/>
            </w:tcBorders>
          </w:tcPr>
          <w:p>
            <w:pPr>
              <w:widowControl/>
              <w:spacing w:line="360" w:lineRule="auto"/>
              <w:jc w:val="left"/>
              <w:rPr>
                <w:rFonts w:ascii="宋体" w:hAnsi="宋体"/>
                <w:color w:val="000000"/>
                <w:kern w:val="0"/>
                <w:szCs w:val="21"/>
              </w:rPr>
            </w:pPr>
            <w:r>
              <w:rPr>
                <w:rFonts w:hint="eastAsia" w:ascii="宋体" w:hAnsi="宋体"/>
                <w:color w:val="000000"/>
                <w:kern w:val="0"/>
                <w:szCs w:val="21"/>
              </w:rPr>
              <w:t>IBM Message Broker</w:t>
            </w:r>
          </w:p>
        </w:tc>
        <w:tc>
          <w:tcPr>
            <w:tcW w:w="10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509"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bCs/>
                <w:kern w:val="0"/>
                <w:szCs w:val="21"/>
              </w:rPr>
            </w:pPr>
            <w:r>
              <w:rPr>
                <w:rFonts w:hint="eastAsia" w:ascii="宋体" w:hAnsi="宋体"/>
                <w:bCs/>
                <w:kern w:val="0"/>
                <w:szCs w:val="21"/>
              </w:rPr>
              <w:t>1</w:t>
            </w:r>
          </w:p>
        </w:tc>
        <w:tc>
          <w:tcPr>
            <w:tcW w:w="1986"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cs="宋体"/>
                <w:bCs/>
                <w:szCs w:val="21"/>
                <w:lang w:val="zh-CN"/>
              </w:rPr>
            </w:pP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2537" w:type="dxa"/>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rPr>
                <w:rFonts w:ascii="宋体" w:hAnsi="宋体"/>
                <w:kern w:val="0"/>
                <w:szCs w:val="21"/>
              </w:rPr>
            </w:pPr>
            <w:r>
              <w:rPr>
                <w:rFonts w:hint="eastAsia" w:ascii="宋体" w:hAnsi="宋体" w:cs="宋体"/>
              </w:rPr>
              <w:t>3</w:t>
            </w:r>
            <w:r>
              <w:rPr>
                <w:rFonts w:ascii="宋体" w:hAnsi="宋体" w:cs="宋体"/>
              </w:rPr>
              <w:t>6</w:t>
            </w:r>
            <w:r>
              <w:rPr>
                <w:rFonts w:hint="eastAsia" w:ascii="宋体" w:hAnsi="宋体" w:cs="宋体"/>
              </w:rPr>
              <w:t>个月</w:t>
            </w:r>
          </w:p>
        </w:tc>
      </w:tr>
      <w:tr>
        <w:tblPrEx>
          <w:tblLayout w:type="fixed"/>
          <w:tblCellMar>
            <w:top w:w="0" w:type="dxa"/>
            <w:left w:w="108" w:type="dxa"/>
            <w:bottom w:w="0" w:type="dxa"/>
            <w:right w:w="108" w:type="dxa"/>
          </w:tblCellMar>
        </w:tblPrEx>
        <w:trPr>
          <w:trHeight w:val="454" w:hRule="atLeast"/>
        </w:trPr>
        <w:tc>
          <w:tcPr>
            <w:tcW w:w="9396" w:type="dxa"/>
            <w:gridSpan w:val="7"/>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ascii="宋体" w:hAnsi="宋体"/>
                <w:kern w:val="0"/>
                <w:szCs w:val="21"/>
              </w:rPr>
            </w:pPr>
            <w:r>
              <w:rPr>
                <w:rFonts w:hint="eastAsia" w:ascii="宋体" w:hAnsi="宋体" w:cs="宋体"/>
                <w:bCs/>
                <w:sz w:val="24"/>
                <w:szCs w:val="21"/>
                <w:lang w:val="zh-CN"/>
              </w:rPr>
              <w:t>总报价（元，含税）大写：          ，</w:t>
            </w:r>
            <w:r>
              <w:rPr>
                <w:rFonts w:ascii="宋体" w:hAnsi="宋体" w:cs="宋体"/>
                <w:bCs/>
                <w:sz w:val="24"/>
                <w:szCs w:val="21"/>
              </w:rPr>
              <w:t>¥</w:t>
            </w:r>
            <w:r>
              <w:rPr>
                <w:rFonts w:hint="eastAsia" w:ascii="宋体" w:hAnsi="宋体" w:cs="宋体"/>
                <w:bCs/>
                <w:sz w:val="24"/>
                <w:szCs w:val="21"/>
                <w:lang w:val="zh-CN"/>
              </w:rPr>
              <w:t xml:space="preserve"> </w:t>
            </w:r>
            <w:r>
              <w:rPr>
                <w:rFonts w:ascii="宋体" w:hAnsi="宋体" w:cs="宋体"/>
                <w:bCs/>
                <w:sz w:val="24"/>
                <w:szCs w:val="21"/>
                <w:lang w:val="zh-CN"/>
              </w:rPr>
              <w:t xml:space="preserve">                  </w:t>
            </w:r>
            <w:r>
              <w:rPr>
                <w:rFonts w:hint="eastAsia" w:ascii="宋体" w:hAnsi="宋体" w:cs="宋体"/>
                <w:bCs/>
                <w:sz w:val="24"/>
                <w:szCs w:val="21"/>
                <w:lang w:val="zh-CN"/>
              </w:rPr>
              <w:t>元。</w:t>
            </w:r>
          </w:p>
        </w:tc>
      </w:tr>
    </w:tbl>
    <w:p>
      <w:pPr>
        <w:spacing w:line="360" w:lineRule="auto"/>
        <w:jc w:val="right"/>
        <w:rPr>
          <w:rFonts w:ascii="宋体" w:hAnsi="宋体" w:cs="宋体"/>
          <w:sz w:val="22"/>
        </w:rPr>
      </w:pPr>
    </w:p>
    <w:p>
      <w:pPr>
        <w:spacing w:line="360" w:lineRule="auto"/>
        <w:rPr>
          <w:rFonts w:ascii="宋体" w:hAnsi="宋体" w:cs="宋体"/>
          <w:sz w:val="22"/>
        </w:rPr>
      </w:pPr>
      <w:r>
        <w:rPr>
          <w:rFonts w:hint="eastAsia" w:ascii="宋体" w:hAnsi="宋体" w:cs="宋体"/>
          <w:sz w:val="22"/>
        </w:rPr>
        <w:t>注：1</w:t>
      </w:r>
      <w:r>
        <w:rPr>
          <w:rFonts w:ascii="宋体" w:hAnsi="宋体" w:cs="宋体"/>
          <w:sz w:val="22"/>
        </w:rPr>
        <w:t>.</w:t>
      </w:r>
      <w:r>
        <w:rPr>
          <w:rFonts w:hint="eastAsia" w:ascii="宋体" w:hAnsi="宋体" w:cs="宋体"/>
          <w:sz w:val="22"/>
        </w:rPr>
        <w:t>此表的</w:t>
      </w:r>
      <w:r>
        <w:rPr>
          <w:rFonts w:hint="eastAsia" w:ascii="宋体" w:hAnsi="宋体" w:cs="宋体"/>
          <w:b/>
          <w:sz w:val="22"/>
        </w:rPr>
        <w:t>“总计”系所有需招标人支付的投标金额总数即投标总价</w:t>
      </w:r>
      <w:r>
        <w:rPr>
          <w:rFonts w:hint="eastAsia" w:ascii="宋体" w:hAnsi="宋体" w:cs="宋体"/>
          <w:sz w:val="22"/>
        </w:rPr>
        <w:t>，投标总价中已包含投标人完成本招标项目的一切费用包括税费。</w:t>
      </w:r>
    </w:p>
    <w:p>
      <w:pPr>
        <w:spacing w:line="360" w:lineRule="auto"/>
        <w:ind w:firstLine="450"/>
        <w:rPr>
          <w:rFonts w:ascii="宋体" w:hAnsi="宋体" w:cs="宋体"/>
          <w:b/>
          <w:color w:val="FF0000"/>
          <w:sz w:val="22"/>
        </w:rPr>
      </w:pPr>
      <w:r>
        <w:rPr>
          <w:rFonts w:ascii="宋体" w:hAnsi="宋体" w:cs="宋体"/>
          <w:sz w:val="22"/>
        </w:rPr>
        <w:t>2.</w:t>
      </w:r>
      <w:r>
        <w:rPr>
          <w:rFonts w:hint="eastAsia" w:ascii="宋体" w:hAnsi="宋体" w:cs="宋体"/>
          <w:sz w:val="22"/>
        </w:rPr>
        <w:t xml:space="preserve">请列明不含税价【 </w:t>
      </w:r>
      <w:r>
        <w:rPr>
          <w:rFonts w:ascii="宋体" w:hAnsi="宋体" w:cs="宋体"/>
          <w:sz w:val="22"/>
        </w:rPr>
        <w:t xml:space="preserve">         </w:t>
      </w:r>
      <w:r>
        <w:rPr>
          <w:rFonts w:hint="eastAsia" w:ascii="宋体" w:hAnsi="宋体" w:cs="宋体"/>
          <w:sz w:val="22"/>
        </w:rPr>
        <w:t xml:space="preserve">】、含税价【 </w:t>
      </w:r>
      <w:r>
        <w:rPr>
          <w:rFonts w:ascii="宋体" w:hAnsi="宋体" w:cs="宋体"/>
          <w:sz w:val="22"/>
        </w:rPr>
        <w:t xml:space="preserve">               </w:t>
      </w:r>
      <w:r>
        <w:rPr>
          <w:rFonts w:hint="eastAsia" w:ascii="宋体" w:hAnsi="宋体" w:cs="宋体"/>
          <w:sz w:val="22"/>
        </w:rPr>
        <w:t xml:space="preserve">】、增值税发票税率【 </w:t>
      </w:r>
      <w:r>
        <w:rPr>
          <w:rFonts w:ascii="宋体" w:hAnsi="宋体" w:cs="宋体"/>
          <w:sz w:val="22"/>
        </w:rPr>
        <w:t xml:space="preserve">      </w:t>
      </w:r>
      <w:r>
        <w:rPr>
          <w:rFonts w:hint="eastAsia" w:ascii="宋体" w:hAnsi="宋体" w:cs="宋体"/>
          <w:sz w:val="22"/>
        </w:rPr>
        <w:t xml:space="preserve">】及税额【 </w:t>
      </w:r>
      <w:r>
        <w:rPr>
          <w:rFonts w:ascii="宋体" w:hAnsi="宋体" w:cs="宋体"/>
          <w:sz w:val="22"/>
        </w:rPr>
        <w:t xml:space="preserve">            </w:t>
      </w:r>
      <w:r>
        <w:rPr>
          <w:rFonts w:hint="eastAsia" w:ascii="宋体" w:hAnsi="宋体" w:cs="宋体"/>
          <w:sz w:val="22"/>
        </w:rPr>
        <w:t>】，</w:t>
      </w:r>
      <w:r>
        <w:rPr>
          <w:rFonts w:hint="eastAsia" w:ascii="宋体" w:hAnsi="宋体" w:cs="宋体"/>
          <w:b/>
          <w:color w:val="FF0000"/>
          <w:sz w:val="22"/>
        </w:rPr>
        <w:t xml:space="preserve">招标人按照不含税价进行商务评审。 </w:t>
      </w:r>
    </w:p>
    <w:p>
      <w:pPr>
        <w:snapToGrid w:val="0"/>
        <w:spacing w:line="440" w:lineRule="exact"/>
        <w:rPr>
          <w:rFonts w:ascii="宋体" w:hAnsi="宋体" w:cs="宋体"/>
          <w:sz w:val="22"/>
        </w:rPr>
      </w:pPr>
      <w:r>
        <w:rPr>
          <w:rFonts w:ascii="宋体" w:hAnsi="宋体" w:cs="宋体"/>
          <w:sz w:val="22"/>
        </w:rPr>
        <w:t xml:space="preserve">  </w:t>
      </w:r>
    </w:p>
    <w:p>
      <w:pPr>
        <w:snapToGrid w:val="0"/>
        <w:spacing w:line="440" w:lineRule="exact"/>
        <w:ind w:firstLine="210" w:firstLineChars="100"/>
        <w:rPr>
          <w:rFonts w:cs="Calibri"/>
          <w:color w:val="000000"/>
          <w:szCs w:val="21"/>
        </w:rPr>
      </w:pPr>
      <w:r>
        <w:rPr>
          <w:rFonts w:cs="Calibri"/>
          <w:color w:val="000000"/>
          <w:szCs w:val="21"/>
        </w:rPr>
        <w:t>投标人：（盖单位章）</w:t>
      </w:r>
    </w:p>
    <w:p>
      <w:pPr>
        <w:snapToGrid w:val="0"/>
        <w:spacing w:line="440" w:lineRule="exact"/>
        <w:ind w:firstLine="210" w:firstLineChars="100"/>
        <w:rPr>
          <w:rFonts w:cs="Calibri"/>
          <w:color w:val="000000"/>
          <w:szCs w:val="21"/>
        </w:rPr>
      </w:pPr>
      <w:r>
        <w:rPr>
          <w:rFonts w:cs="Calibri"/>
          <w:color w:val="000000"/>
          <w:szCs w:val="21"/>
        </w:rPr>
        <w:t>法定代表人或其委托代理人：（签字或盖章）</w:t>
      </w:r>
    </w:p>
    <w:p>
      <w:pPr>
        <w:snapToGrid w:val="0"/>
        <w:spacing w:line="440" w:lineRule="exact"/>
        <w:ind w:firstLine="210" w:firstLineChars="100"/>
        <w:rPr>
          <w:rFonts w:cs="Calibri"/>
          <w:color w:val="000000"/>
          <w:szCs w:val="21"/>
        </w:rPr>
      </w:pPr>
      <w:r>
        <w:rPr>
          <w:rFonts w:cs="Calibri"/>
          <w:color w:val="000000"/>
          <w:szCs w:val="21"/>
        </w:rPr>
        <w:t>日期：    年     月     日</w:t>
      </w:r>
    </w:p>
    <w:p>
      <w:pPr>
        <w:spacing w:line="360" w:lineRule="auto"/>
        <w:ind w:firstLine="450"/>
        <w:rPr>
          <w:rFonts w:ascii="宋体" w:hAnsi="宋体" w:cs="宋体"/>
          <w:sz w:val="22"/>
        </w:rPr>
      </w:pPr>
    </w:p>
    <w:p>
      <w:pPr>
        <w:adjustRightInd w:val="0"/>
        <w:snapToGrid w:val="0"/>
        <w:ind w:firstLine="240" w:firstLineChars="100"/>
        <w:jc w:val="left"/>
        <w:rPr>
          <w:rFonts w:cs="Calibri"/>
          <w:b/>
          <w:szCs w:val="21"/>
        </w:rPr>
      </w:pPr>
      <w:r>
        <w:rPr>
          <w:rFonts w:cs="Calibri"/>
          <w:sz w:val="24"/>
        </w:rPr>
        <w:br w:type="page"/>
      </w:r>
    </w:p>
    <w:p>
      <w:pPr>
        <w:adjustRightInd w:val="0"/>
        <w:snapToGrid w:val="0"/>
        <w:jc w:val="left"/>
        <w:rPr>
          <w:rFonts w:cs="Calibri"/>
          <w:b/>
          <w:szCs w:val="21"/>
        </w:rPr>
        <w:sectPr>
          <w:pgSz w:w="11906" w:h="16838"/>
          <w:pgMar w:top="1134" w:right="1247" w:bottom="1134" w:left="1247" w:header="851" w:footer="992" w:gutter="0"/>
          <w:cols w:space="720" w:num="1"/>
          <w:docGrid w:linePitch="312" w:charSpace="0"/>
        </w:sectPr>
      </w:pPr>
    </w:p>
    <w:p>
      <w:pPr>
        <w:spacing w:line="440" w:lineRule="exact"/>
        <w:jc w:val="center"/>
        <w:rPr>
          <w:rFonts w:cs="Calibri"/>
          <w:b/>
          <w:bCs/>
          <w:color w:val="000000"/>
          <w:sz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ascii="宋体" w:hAnsi="宋体" w:cs="宋体"/>
          <w:b/>
          <w:sz w:val="32"/>
          <w:szCs w:val="32"/>
        </w:rPr>
      </w:pPr>
      <w:r>
        <w:rPr>
          <w:rFonts w:cs="Calibri"/>
          <w:b/>
          <w:sz w:val="36"/>
          <w:szCs w:val="36"/>
        </w:rPr>
        <w:br w:type="page"/>
      </w:r>
      <w:r>
        <w:rPr>
          <w:rFonts w:hint="eastAsia" w:ascii="宋体" w:hAnsi="宋体" w:cs="宋体"/>
          <w:b/>
          <w:sz w:val="32"/>
          <w:szCs w:val="32"/>
        </w:rPr>
        <w:t>（二） 具有独立法人资格的制造商或代理商，持有有效营业执照，注册资金不少于人民币100万元或等值外币 (按投标截止日中国人民银行公布的汇率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（三） 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spacing w:line="360" w:lineRule="auto"/>
        <w:jc w:val="left"/>
        <w:rPr>
          <w:rFonts w:cs="Calibri"/>
          <w:b/>
          <w:sz w:val="36"/>
          <w:szCs w:val="36"/>
        </w:rPr>
      </w:pPr>
      <w:r>
        <w:rPr>
          <w:rFonts w:ascii="宋体" w:hAnsi="宋体" w:cs="宋体"/>
          <w:b/>
          <w:sz w:val="32"/>
          <w:szCs w:val="32"/>
        </w:rPr>
        <w:br w:type="page"/>
      </w:r>
      <w:r>
        <w:rPr>
          <w:rFonts w:hint="eastAsia" w:ascii="宋体" w:hAnsi="宋体" w:cs="宋体"/>
          <w:b/>
          <w:sz w:val="32"/>
          <w:szCs w:val="32"/>
        </w:rPr>
        <w:t xml:space="preserve">（四）近年（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 </w:t>
      </w:r>
      <w:r>
        <w:rPr>
          <w:rFonts w:cs="Calibri"/>
          <w:b/>
          <w:sz w:val="36"/>
          <w:szCs w:val="36"/>
        </w:rPr>
        <w:br w:type="page"/>
      </w:r>
      <w:r>
        <w:rPr>
          <w:rFonts w:hint="eastAsia" w:cs="Calibri"/>
          <w:b/>
          <w:sz w:val="36"/>
          <w:szCs w:val="36"/>
        </w:rPr>
        <w:t>（五）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六</w:t>
      </w:r>
      <w:r>
        <w:rPr>
          <w:rFonts w:eastAsia="黑体" w:cs="Calibri"/>
          <w:color w:val="000000"/>
          <w:sz w:val="32"/>
          <w:szCs w:val="32"/>
        </w:rPr>
        <w:t>）</w:t>
      </w:r>
      <w:r>
        <w:rPr>
          <w:rFonts w:hint="eastAsia" w:eastAsia="黑体" w:cs="Calibri"/>
          <w:color w:val="000000"/>
          <w:sz w:val="32"/>
          <w:szCs w:val="32"/>
        </w:rPr>
        <w:t>具有磁盘阵列品牌原厂授权工程师证书（如有）</w:t>
      </w:r>
    </w:p>
    <w:p>
      <w:pPr>
        <w:spacing w:line="440" w:lineRule="exact"/>
        <w:jc w:val="center"/>
        <w:rPr>
          <w:rFonts w:eastAsia="黑体" w:cs="Calibri"/>
          <w:color w:val="000000"/>
          <w:sz w:val="32"/>
          <w:szCs w:val="32"/>
        </w:rPr>
      </w:pPr>
      <w:r>
        <w:rPr>
          <w:rFonts w:hint="eastAsia" w:eastAsia="黑体" w:cs="Calibri"/>
          <w:color w:val="000000"/>
          <w:sz w:val="32"/>
          <w:szCs w:val="32"/>
        </w:rPr>
        <w:t>（七）设备原厂技术支持的证明文件（如有）</w:t>
      </w:r>
    </w:p>
    <w:p>
      <w:pPr>
        <w:spacing w:line="440" w:lineRule="exact"/>
        <w:jc w:val="center"/>
        <w:rPr>
          <w:rFonts w:eastAsia="黑体" w:cs="Calibri"/>
          <w:color w:val="000000"/>
          <w:sz w:val="32"/>
          <w:szCs w:val="32"/>
        </w:rPr>
      </w:pPr>
      <w:r>
        <w:rPr>
          <w:rFonts w:hint="eastAsia" w:eastAsia="黑体" w:cs="Calibri"/>
          <w:color w:val="000000"/>
          <w:sz w:val="32"/>
          <w:szCs w:val="32"/>
        </w:rPr>
        <w:t>（八）投标人备件库情况（如有）</w:t>
      </w:r>
    </w:p>
    <w:p>
      <w:pPr>
        <w:spacing w:line="440" w:lineRule="exact"/>
        <w:jc w:val="center"/>
        <w:rPr>
          <w:rFonts w:eastAsia="黑体" w:cs="Calibri"/>
          <w:color w:val="000000"/>
          <w:sz w:val="32"/>
          <w:szCs w:val="32"/>
        </w:rPr>
      </w:pPr>
      <w:r>
        <w:rPr>
          <w:rFonts w:hint="eastAsia" w:eastAsia="黑体" w:cs="Calibri"/>
          <w:color w:val="000000"/>
          <w:sz w:val="32"/>
          <w:szCs w:val="32"/>
        </w:rPr>
        <w:t>（九）</w:t>
      </w:r>
      <w:r>
        <w:rPr>
          <w:rFonts w:eastAsia="黑体" w:cs="Calibri"/>
          <w:color w:val="000000"/>
          <w:sz w:val="32"/>
          <w:szCs w:val="32"/>
        </w:rPr>
        <w:t>近三年完成类似</w:t>
      </w:r>
      <w:r>
        <w:rPr>
          <w:rFonts w:hint="eastAsia" w:eastAsia="黑体" w:cs="Calibri"/>
          <w:color w:val="000000"/>
          <w:sz w:val="32"/>
          <w:szCs w:val="32"/>
        </w:rPr>
        <w:t>项目业绩</w:t>
      </w:r>
      <w:r>
        <w:rPr>
          <w:rFonts w:eastAsia="黑体" w:cs="Calibri"/>
          <w:color w:val="000000"/>
          <w:sz w:val="32"/>
          <w:szCs w:val="32"/>
        </w:rPr>
        <w:t>情况</w:t>
      </w:r>
      <w:r>
        <w:rPr>
          <w:rFonts w:hint="eastAsia" w:eastAsia="黑体" w:cs="Calibri"/>
          <w:color w:val="000000"/>
          <w:sz w:val="32"/>
          <w:szCs w:val="32"/>
        </w:rPr>
        <w:t>（如有）</w:t>
      </w:r>
    </w:p>
    <w:p>
      <w:pPr>
        <w:spacing w:line="440" w:lineRule="exact"/>
        <w:jc w:val="center"/>
        <w:rPr>
          <w:rFonts w:eastAsia="黑体" w:cs="Calibri"/>
          <w:color w:val="000000"/>
          <w:sz w:val="32"/>
          <w:szCs w:val="32"/>
        </w:rPr>
      </w:pPr>
      <w:r>
        <w:rPr>
          <w:rFonts w:hint="eastAsia" w:hAnsi="宋体" w:cs="Calibri"/>
          <w:color w:val="000000"/>
          <w:sz w:val="22"/>
        </w:rPr>
        <w:t>近三年内投标人提供过相关品牌磁盘阵列维护案例</w:t>
      </w:r>
    </w:p>
    <w:tbl>
      <w:tblPr>
        <w:tblStyle w:val="5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24"/>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szCs w:val="21"/>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r>
        <w:rPr>
          <w:rFonts w:hint="eastAsia" w:eastAsia="黑体" w:cs="Calibri"/>
          <w:color w:val="000000"/>
          <w:sz w:val="32"/>
          <w:szCs w:val="32"/>
        </w:rPr>
        <w:t>（十）ISO9001认证（如有）</w:t>
      </w:r>
    </w:p>
    <w:p>
      <w:pPr>
        <w:spacing w:line="440" w:lineRule="exact"/>
        <w:jc w:val="center"/>
        <w:rPr>
          <w:rFonts w:eastAsia="黑体" w:cs="Calibri"/>
          <w:color w:val="000000"/>
          <w:sz w:val="32"/>
          <w:szCs w:val="32"/>
        </w:rPr>
      </w:pPr>
      <w:r>
        <w:rPr>
          <w:rFonts w:hint="eastAsia" w:hAnsi="宋体" w:cs="Calibri"/>
          <w:color w:val="000000"/>
          <w:sz w:val="22"/>
        </w:rPr>
        <w:t xml:space="preserve"> </w:t>
      </w:r>
    </w:p>
    <w:p>
      <w:pPr>
        <w:spacing w:line="360" w:lineRule="auto"/>
        <w:jc w:val="left"/>
        <w:rPr>
          <w:rFonts w:cs="Calibri"/>
          <w:b/>
          <w:sz w:val="36"/>
          <w:szCs w:val="36"/>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二</w:t>
      </w:r>
      <w:r>
        <w:rPr>
          <w:rFonts w:eastAsia="黑体" w:cs="Calibri"/>
          <w:color w:val="000000"/>
          <w:sz w:val="32"/>
          <w:szCs w:val="32"/>
        </w:rPr>
        <w:t>）主要参与</w:t>
      </w:r>
      <w:r>
        <w:rPr>
          <w:rFonts w:hint="eastAsia" w:eastAsia="黑体" w:cs="Calibri"/>
          <w:color w:val="000000"/>
          <w:sz w:val="32"/>
          <w:szCs w:val="32"/>
        </w:rPr>
        <w:t>服务</w:t>
      </w:r>
      <w:r>
        <w:rPr>
          <w:rFonts w:eastAsia="黑体" w:cs="Calibri"/>
          <w:color w:val="000000"/>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241"/>
              <w:jc w:val="center"/>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440" w:lineRule="exact"/>
        <w:jc w:val="center"/>
        <w:rPr>
          <w:rFonts w:eastAsia="黑体" w:cs="Calibri"/>
          <w:color w:val="000000"/>
          <w:sz w:val="32"/>
          <w:szCs w:val="32"/>
        </w:rPr>
      </w:pPr>
      <w:r>
        <w:rPr>
          <w:rFonts w:eastAsia="黑体" w:cs="Calibri"/>
          <w:color w:val="000000"/>
          <w:sz w:val="32"/>
          <w:szCs w:val="32"/>
        </w:rPr>
        <w:br w:type="page"/>
      </w:r>
      <w:r>
        <w:rPr>
          <w:rFonts w:eastAsia="黑体" w:cs="Calibri"/>
          <w:color w:val="000000"/>
          <w:sz w:val="32"/>
          <w:szCs w:val="32"/>
        </w:rPr>
        <w:t>（</w:t>
      </w:r>
      <w:r>
        <w:rPr>
          <w:rFonts w:hint="eastAsia" w:eastAsia="黑体" w:cs="Calibri"/>
          <w:color w:val="000000"/>
          <w:sz w:val="32"/>
          <w:szCs w:val="32"/>
        </w:rPr>
        <w:t>三</w:t>
      </w:r>
      <w:r>
        <w:rPr>
          <w:rFonts w:eastAsia="黑体" w:cs="Calibri"/>
          <w:color w:val="000000"/>
          <w:sz w:val="32"/>
          <w:szCs w:val="32"/>
        </w:rPr>
        <w:t>）</w:t>
      </w:r>
      <w:r>
        <w:rPr>
          <w:rFonts w:hint="eastAsia" w:eastAsia="黑体" w:cs="Calibri"/>
          <w:color w:val="000000"/>
          <w:sz w:val="32"/>
          <w:szCs w:val="32"/>
        </w:rPr>
        <w:t>维护方案</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p/>
    <w:p/>
    <w:sectPr>
      <w:pgSz w:w="11906" w:h="16838"/>
      <w:pgMar w:top="1134" w:right="1247" w:bottom="1134"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Calibri Light">
    <w:panose1 w:val="020F03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5B737A4C"/>
    <w:multiLevelType w:val="singleLevel"/>
    <w:tmpl w:val="5B737A4C"/>
    <w:lvl w:ilvl="0" w:tentative="0">
      <w:start w:val="3"/>
      <w:numFmt w:val="decimal"/>
      <w:suff w:val="nothing"/>
      <w:lvlText w:val="%1."/>
      <w:lvlJc w:val="left"/>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243C9"/>
    <w:rsid w:val="6834736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iPriority="0" w:semiHidden="0" w:name="index 2"/>
    <w:lsdException w:qFormat="1"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qFormat="1"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0" w:semiHidden="0" w:name="caption"/>
    <w:lsdException w:qFormat="1" w:uiPriority="0" w:semiHidden="0"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qFormat="1" w:uiPriority="0" w:semiHidden="0" w:name="List"/>
    <w:lsdException w:uiPriority="99" w:name="List Bullet"/>
    <w:lsdException w:uiPriority="99" w:name="List Number"/>
    <w:lsdException w:qFormat="1" w:uiPriority="0" w:semiHidden="0" w:name="List 2"/>
    <w:lsdException w:qFormat="1" w:uiPriority="0" w:semiHidden="0" w:name="List 3"/>
    <w:lsdException w:qFormat="1"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iPriority="0" w:semiHidden="0" w:name="Body Text"/>
    <w:lsdException w:qFormat="1" w:uiPriority="0" w:semiHidden="0" w:name="Body Text Indent"/>
    <w:lsdException w:uiPriority="99" w:name="List Continue"/>
    <w:lsdException w:qFormat="1"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iPriority="0" w:semiHidden="0" w:name="Body Text First Indent 2"/>
    <w:lsdException w:uiPriority="99" w:name="Note Heading"/>
    <w:lsdException w:qFormat="1" w:uiPriority="0" w:semiHidden="0" w:name="Body Text 2"/>
    <w:lsdException w:uiPriority="99" w:name="Body Text 3"/>
    <w:lsdException w:qFormat="1" w:uiPriority="0" w:semiHidden="0" w:name="Body Text Indent 2"/>
    <w:lsdException w:qFormat="1" w:uiPriority="0" w:semiHidden="0"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5"/>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6"/>
    <w:unhideWhenUsed/>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57"/>
    <w:unhideWhenUsed/>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58"/>
    <w:unhideWhenUsed/>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59"/>
    <w:unhideWhenUsed/>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character" w:default="1" w:styleId="46">
    <w:name w:val="Default Paragraph Font"/>
    <w:unhideWhenUsed/>
    <w:uiPriority w:val="1"/>
  </w:style>
  <w:style w:type="table" w:default="1" w:styleId="53">
    <w:name w:val="Normal Table"/>
    <w:unhideWhenUsed/>
    <w:uiPriority w:val="99"/>
    <w:tblPr>
      <w:tblLayout w:type="fixed"/>
      <w:tblCellMar>
        <w:top w:w="0" w:type="dxa"/>
        <w:left w:w="108" w:type="dxa"/>
        <w:bottom w:w="0" w:type="dxa"/>
        <w:right w:w="108" w:type="dxa"/>
      </w:tblCellMar>
    </w:tblPr>
  </w:style>
  <w:style w:type="paragraph" w:styleId="7">
    <w:name w:val="List 3"/>
    <w:basedOn w:val="1"/>
    <w:unhideWhenUsed/>
    <w:qFormat/>
    <w:uiPriority w:val="0"/>
    <w:pPr>
      <w:ind w:left="100" w:leftChars="400" w:hanging="200" w:hangingChars="200"/>
    </w:pPr>
    <w:rPr>
      <w:rFonts w:ascii="Times New Roman" w:hAnsi="Times New Roman" w:eastAsia="宋体" w:cs="Times New Roman"/>
      <w:szCs w:val="24"/>
    </w:rPr>
  </w:style>
  <w:style w:type="paragraph" w:styleId="8">
    <w:name w:val="annotation subject"/>
    <w:basedOn w:val="9"/>
    <w:next w:val="9"/>
    <w:link w:val="66"/>
    <w:unhideWhenUsed/>
    <w:qFormat/>
    <w:uiPriority w:val="0"/>
    <w:rPr>
      <w:rFonts w:ascii="Times New Roman" w:hAnsi="Times New Roman" w:eastAsia="宋体" w:cs="Times New Roman"/>
      <w:b/>
      <w:bCs/>
      <w:szCs w:val="24"/>
    </w:rPr>
  </w:style>
  <w:style w:type="paragraph" w:styleId="9">
    <w:name w:val="annotation text"/>
    <w:basedOn w:val="1"/>
    <w:link w:val="65"/>
    <w:unhideWhenUsed/>
    <w:qFormat/>
    <w:uiPriority w:val="0"/>
    <w:pPr>
      <w:jc w:val="left"/>
    </w:pPr>
  </w:style>
  <w:style w:type="paragraph" w:styleId="10">
    <w:name w:val="toc 7"/>
    <w:basedOn w:val="1"/>
    <w:next w:val="1"/>
    <w:unhideWhenUsed/>
    <w:qFormat/>
    <w:uiPriority w:val="0"/>
    <w:pPr>
      <w:ind w:left="2520"/>
    </w:pPr>
    <w:rPr>
      <w:rFonts w:ascii="Times New Roman" w:hAnsi="Times New Roman" w:eastAsia="宋体" w:cs="Times New Roman"/>
      <w:szCs w:val="24"/>
    </w:rPr>
  </w:style>
  <w:style w:type="paragraph" w:styleId="11">
    <w:name w:val="Body Text First Indent"/>
    <w:basedOn w:val="12"/>
    <w:link w:val="68"/>
    <w:unhideWhenUsed/>
    <w:qFormat/>
    <w:uiPriority w:val="0"/>
    <w:pPr>
      <w:ind w:firstLine="420" w:firstLineChars="100"/>
    </w:pPr>
    <w:rPr>
      <w:rFonts w:ascii="Times New Roman" w:hAnsi="Times New Roman" w:eastAsia="宋体" w:cs="Times New Roman"/>
      <w:kern w:val="0"/>
      <w:sz w:val="20"/>
      <w:szCs w:val="24"/>
    </w:rPr>
  </w:style>
  <w:style w:type="paragraph" w:styleId="12">
    <w:name w:val="Body Text"/>
    <w:basedOn w:val="1"/>
    <w:link w:val="67"/>
    <w:unhideWhenUsed/>
    <w:qFormat/>
    <w:uiPriority w:val="0"/>
    <w:pPr>
      <w:spacing w:after="120"/>
    </w:pPr>
  </w:style>
  <w:style w:type="paragraph" w:styleId="13">
    <w:name w:val="Normal Indent"/>
    <w:basedOn w:val="1"/>
    <w:link w:val="70"/>
    <w:unhideWhenUsed/>
    <w:qFormat/>
    <w:uiPriority w:val="0"/>
    <w:pPr>
      <w:autoSpaceDE w:val="0"/>
      <w:autoSpaceDN w:val="0"/>
      <w:adjustRightInd w:val="0"/>
      <w:ind w:firstLine="420"/>
      <w:jc w:val="left"/>
    </w:pPr>
    <w:rPr>
      <w:rFonts w:ascii="宋体" w:hAnsi="Times New Roman" w:eastAsia="宋体" w:cs="Times New Roman"/>
      <w:sz w:val="34"/>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71"/>
    <w:unhideWhenUsed/>
    <w:qFormat/>
    <w:uiPriority w:val="0"/>
    <w:pPr>
      <w:shd w:val="clear" w:color="auto" w:fill="000080"/>
    </w:pPr>
    <w:rPr>
      <w:rFonts w:ascii="Times New Roman" w:hAnsi="Times New Roman" w:eastAsia="宋体" w:cs="Times New Roman"/>
      <w:kern w:val="0"/>
      <w:sz w:val="20"/>
      <w:szCs w:val="24"/>
    </w:rPr>
  </w:style>
  <w:style w:type="paragraph" w:styleId="16">
    <w:name w:val="toa heading"/>
    <w:basedOn w:val="1"/>
    <w:next w:val="1"/>
    <w:unhideWhenUsed/>
    <w:qFormat/>
    <w:uiPriority w:val="0"/>
    <w:pPr>
      <w:spacing w:before="120"/>
    </w:pPr>
    <w:rPr>
      <w:rFonts w:ascii="Arial" w:hAnsi="Arial" w:eastAsia="宋体" w:cs="Arial"/>
      <w:sz w:val="24"/>
      <w:szCs w:val="24"/>
    </w:rPr>
  </w:style>
  <w:style w:type="paragraph" w:styleId="17">
    <w:name w:val="Body Text Indent"/>
    <w:basedOn w:val="1"/>
    <w:link w:val="73"/>
    <w:unhideWhenUsed/>
    <w:qFormat/>
    <w:uiPriority w:val="0"/>
    <w:pPr>
      <w:spacing w:after="120"/>
      <w:ind w:left="420" w:leftChars="200"/>
    </w:pPr>
    <w:rPr>
      <w:rFonts w:ascii="Calibri" w:hAnsi="Calibri" w:eastAsia="宋体" w:cs="Times New Roman"/>
    </w:rPr>
  </w:style>
  <w:style w:type="paragraph" w:styleId="18">
    <w:name w:val="List 2"/>
    <w:basedOn w:val="1"/>
    <w:unhideWhenUsed/>
    <w:qFormat/>
    <w:uiPriority w:val="0"/>
    <w:pPr>
      <w:ind w:left="100" w:leftChars="200" w:hanging="200" w:hangingChars="200"/>
    </w:pPr>
    <w:rPr>
      <w:rFonts w:ascii="Times New Roman" w:hAnsi="Times New Roman" w:eastAsia="宋体" w:cs="Times New Roman"/>
      <w:szCs w:val="24"/>
    </w:rPr>
  </w:style>
  <w:style w:type="paragraph" w:styleId="19">
    <w:name w:val="toc 5"/>
    <w:basedOn w:val="1"/>
    <w:next w:val="1"/>
    <w:unhideWhenUsed/>
    <w:qFormat/>
    <w:uiPriority w:val="0"/>
    <w:pPr>
      <w:ind w:left="1680"/>
    </w:pPr>
    <w:rPr>
      <w:rFonts w:ascii="Times New Roman" w:hAnsi="Times New Roman" w:eastAsia="宋体" w:cs="Times New Roman"/>
      <w:szCs w:val="24"/>
    </w:rPr>
  </w:style>
  <w:style w:type="paragraph" w:styleId="20">
    <w:name w:val="toc 3"/>
    <w:basedOn w:val="1"/>
    <w:next w:val="1"/>
    <w:unhideWhenUsed/>
    <w:qFormat/>
    <w:uiPriority w:val="0"/>
    <w:pPr>
      <w:spacing w:line="360" w:lineRule="auto"/>
      <w:ind w:left="400" w:leftChars="400"/>
    </w:pPr>
    <w:rPr>
      <w:rFonts w:ascii="Times New Roman" w:hAnsi="Times New Roman" w:eastAsia="宋体" w:cs="Times New Roman"/>
      <w:szCs w:val="24"/>
    </w:rPr>
  </w:style>
  <w:style w:type="paragraph" w:styleId="21">
    <w:name w:val="Plain Text"/>
    <w:basedOn w:val="1"/>
    <w:link w:val="75"/>
    <w:unhideWhenUsed/>
    <w:qFormat/>
    <w:uiPriority w:val="0"/>
    <w:rPr>
      <w:rFonts w:ascii="宋体" w:hAnsi="Courier New" w:eastAsia="宋体" w:cs="Times New Roman"/>
      <w:kern w:val="0"/>
      <w:sz w:val="20"/>
      <w:szCs w:val="21"/>
    </w:rPr>
  </w:style>
  <w:style w:type="paragraph" w:styleId="22">
    <w:name w:val="toc 8"/>
    <w:basedOn w:val="1"/>
    <w:next w:val="1"/>
    <w:unhideWhenUsed/>
    <w:qFormat/>
    <w:uiPriority w:val="0"/>
    <w:pPr>
      <w:ind w:left="2940"/>
    </w:pPr>
    <w:rPr>
      <w:rFonts w:ascii="Times New Roman" w:hAnsi="Times New Roman" w:eastAsia="宋体" w:cs="Times New Roman"/>
      <w:szCs w:val="24"/>
    </w:rPr>
  </w:style>
  <w:style w:type="paragraph" w:styleId="23">
    <w:name w:val="index 3"/>
    <w:basedOn w:val="1"/>
    <w:next w:val="1"/>
    <w:unhideWhenUsed/>
    <w:qFormat/>
    <w:uiPriority w:val="0"/>
    <w:pPr>
      <w:ind w:left="400" w:leftChars="400"/>
    </w:pPr>
    <w:rPr>
      <w:rFonts w:ascii="Times New Roman" w:hAnsi="Times New Roman" w:eastAsia="宋体" w:cs="Times New Roman"/>
      <w:szCs w:val="24"/>
    </w:rPr>
  </w:style>
  <w:style w:type="paragraph" w:styleId="24">
    <w:name w:val="Date"/>
    <w:basedOn w:val="1"/>
    <w:next w:val="1"/>
    <w:link w:val="77"/>
    <w:unhideWhenUsed/>
    <w:qFormat/>
    <w:uiPriority w:val="0"/>
    <w:pPr>
      <w:ind w:left="100" w:leftChars="2500"/>
    </w:pPr>
    <w:rPr>
      <w:rFonts w:ascii="Times New Roman" w:hAnsi="Times New Roman" w:eastAsia="宋体" w:cs="Times New Roman"/>
      <w:b/>
      <w:bCs/>
      <w:kern w:val="0"/>
      <w:sz w:val="36"/>
      <w:szCs w:val="24"/>
    </w:rPr>
  </w:style>
  <w:style w:type="paragraph" w:styleId="25">
    <w:name w:val="Body Text Indent 2"/>
    <w:basedOn w:val="1"/>
    <w:link w:val="79"/>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26">
    <w:name w:val="Balloon Text"/>
    <w:basedOn w:val="1"/>
    <w:link w:val="81"/>
    <w:unhideWhenUsed/>
    <w:qFormat/>
    <w:uiPriority w:val="0"/>
    <w:rPr>
      <w:rFonts w:ascii="Times New Roman" w:hAnsi="Times New Roman" w:eastAsia="宋体" w:cs="Times New Roman"/>
      <w:kern w:val="0"/>
      <w:sz w:val="18"/>
      <w:szCs w:val="18"/>
    </w:rPr>
  </w:style>
  <w:style w:type="paragraph" w:styleId="27">
    <w:name w:val="footer"/>
    <w:basedOn w:val="1"/>
    <w:link w:val="83"/>
    <w:unhideWhenUsed/>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28">
    <w:name w:val="Body Text First Indent 2"/>
    <w:basedOn w:val="17"/>
    <w:link w:val="85"/>
    <w:unhideWhenUsed/>
    <w:qFormat/>
    <w:uiPriority w:val="0"/>
    <w:pPr>
      <w:ind w:firstLine="420" w:firstLineChars="200"/>
    </w:pPr>
    <w:rPr>
      <w:rFonts w:ascii="Times New Roman" w:hAnsi="Times New Roman"/>
      <w:kern w:val="0"/>
      <w:sz w:val="20"/>
      <w:szCs w:val="24"/>
    </w:rPr>
  </w:style>
  <w:style w:type="paragraph" w:styleId="29">
    <w:name w:val="header"/>
    <w:basedOn w:val="1"/>
    <w:link w:val="87"/>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0">
    <w:name w:val="toc 1"/>
    <w:basedOn w:val="2"/>
    <w:next w:val="1"/>
    <w:unhideWhenUsed/>
    <w:qFormat/>
    <w:uiPriority w:val="0"/>
    <w:pPr>
      <w:tabs>
        <w:tab w:val="right" w:leader="dot" w:pos="8659"/>
      </w:tabs>
      <w:spacing w:before="0" w:after="0" w:line="240" w:lineRule="auto"/>
      <w:jc w:val="center"/>
    </w:pPr>
    <w:rPr>
      <w:b w:val="0"/>
      <w:sz w:val="21"/>
    </w:rPr>
  </w:style>
  <w:style w:type="paragraph" w:styleId="31">
    <w:name w:val="toc 4"/>
    <w:basedOn w:val="1"/>
    <w:next w:val="1"/>
    <w:unhideWhenUsed/>
    <w:qFormat/>
    <w:uiPriority w:val="0"/>
    <w:pPr>
      <w:ind w:left="1260"/>
    </w:pPr>
    <w:rPr>
      <w:rFonts w:ascii="Times New Roman" w:hAnsi="Times New Roman" w:eastAsia="宋体" w:cs="Times New Roman"/>
      <w:szCs w:val="24"/>
    </w:rPr>
  </w:style>
  <w:style w:type="paragraph" w:styleId="32">
    <w:name w:val="List"/>
    <w:basedOn w:val="1"/>
    <w:unhideWhenUsed/>
    <w:qFormat/>
    <w:uiPriority w:val="0"/>
    <w:pPr>
      <w:ind w:left="200" w:hanging="200" w:hangingChars="200"/>
    </w:pPr>
    <w:rPr>
      <w:rFonts w:ascii="Times New Roman" w:hAnsi="Times New Roman" w:eastAsia="宋体" w:cs="Times New Roman"/>
      <w:szCs w:val="24"/>
    </w:rPr>
  </w:style>
  <w:style w:type="paragraph" w:styleId="33">
    <w:name w:val="footnote text"/>
    <w:basedOn w:val="1"/>
    <w:link w:val="89"/>
    <w:unhideWhenUsed/>
    <w:qFormat/>
    <w:uiPriority w:val="0"/>
    <w:pPr>
      <w:snapToGrid w:val="0"/>
      <w:jc w:val="left"/>
    </w:pPr>
    <w:rPr>
      <w:rFonts w:ascii="Times New Roman" w:hAnsi="Times New Roman" w:eastAsia="宋体" w:cs="Times New Roman"/>
      <w:kern w:val="0"/>
      <w:sz w:val="18"/>
      <w:szCs w:val="18"/>
    </w:rPr>
  </w:style>
  <w:style w:type="paragraph" w:styleId="34">
    <w:name w:val="toc 6"/>
    <w:basedOn w:val="1"/>
    <w:next w:val="1"/>
    <w:unhideWhenUsed/>
    <w:qFormat/>
    <w:uiPriority w:val="0"/>
    <w:pPr>
      <w:ind w:left="2100"/>
    </w:pPr>
    <w:rPr>
      <w:rFonts w:ascii="Times New Roman" w:hAnsi="Times New Roman" w:eastAsia="宋体" w:cs="Times New Roman"/>
      <w:szCs w:val="24"/>
    </w:rPr>
  </w:style>
  <w:style w:type="paragraph" w:styleId="35">
    <w:name w:val="Body Text Indent 3"/>
    <w:basedOn w:val="1"/>
    <w:link w:val="91"/>
    <w:unhideWhenUsed/>
    <w:qFormat/>
    <w:uiPriority w:val="0"/>
    <w:pPr>
      <w:spacing w:line="540" w:lineRule="atLeast"/>
      <w:ind w:firstLine="480" w:firstLineChars="200"/>
    </w:pPr>
    <w:rPr>
      <w:rFonts w:ascii="Times New Roman" w:hAnsi="Times New Roman" w:eastAsia="宋体" w:cs="Times New Roman"/>
      <w:kern w:val="0"/>
      <w:sz w:val="24"/>
      <w:szCs w:val="24"/>
    </w:rPr>
  </w:style>
  <w:style w:type="paragraph" w:styleId="36">
    <w:name w:val="table of figures"/>
    <w:basedOn w:val="1"/>
    <w:next w:val="1"/>
    <w:unhideWhenUsed/>
    <w:qFormat/>
    <w:uiPriority w:val="0"/>
    <w:pPr>
      <w:ind w:left="200" w:leftChars="200" w:hanging="200" w:hangingChars="200"/>
    </w:pPr>
    <w:rPr>
      <w:rFonts w:ascii="Times New Roman" w:hAnsi="Times New Roman" w:eastAsia="宋体" w:cs="Times New Roman"/>
      <w:szCs w:val="24"/>
    </w:rPr>
  </w:style>
  <w:style w:type="paragraph" w:styleId="37">
    <w:name w:val="toc 2"/>
    <w:basedOn w:val="1"/>
    <w:next w:val="1"/>
    <w:unhideWhenUsed/>
    <w:qFormat/>
    <w:uiPriority w:val="0"/>
    <w:pPr>
      <w:spacing w:line="360" w:lineRule="auto"/>
      <w:ind w:left="200" w:leftChars="200"/>
    </w:pPr>
    <w:rPr>
      <w:rFonts w:ascii="Times New Roman" w:hAnsi="Times New Roman" w:eastAsia="宋体" w:cs="Times New Roman"/>
      <w:szCs w:val="24"/>
    </w:rPr>
  </w:style>
  <w:style w:type="paragraph" w:styleId="38">
    <w:name w:val="toc 9"/>
    <w:basedOn w:val="1"/>
    <w:next w:val="1"/>
    <w:unhideWhenUsed/>
    <w:qFormat/>
    <w:uiPriority w:val="0"/>
    <w:pPr>
      <w:ind w:left="3360"/>
    </w:pPr>
    <w:rPr>
      <w:rFonts w:ascii="Times New Roman" w:hAnsi="Times New Roman" w:eastAsia="宋体" w:cs="Times New Roman"/>
      <w:szCs w:val="24"/>
    </w:rPr>
  </w:style>
  <w:style w:type="paragraph" w:styleId="39">
    <w:name w:val="Body Text 2"/>
    <w:basedOn w:val="1"/>
    <w:link w:val="93"/>
    <w:unhideWhenUsed/>
    <w:qFormat/>
    <w:uiPriority w:val="0"/>
    <w:pPr>
      <w:spacing w:after="120" w:line="480" w:lineRule="auto"/>
    </w:pPr>
    <w:rPr>
      <w:rFonts w:ascii="Times New Roman" w:hAnsi="Times New Roman" w:eastAsia="宋体" w:cs="Times New Roman"/>
      <w:kern w:val="0"/>
      <w:sz w:val="20"/>
      <w:szCs w:val="24"/>
    </w:rPr>
  </w:style>
  <w:style w:type="paragraph" w:styleId="40">
    <w:name w:val="List 4"/>
    <w:basedOn w:val="1"/>
    <w:unhideWhenUsed/>
    <w:qFormat/>
    <w:uiPriority w:val="0"/>
    <w:pPr>
      <w:ind w:left="100" w:leftChars="600" w:hanging="200" w:hangingChars="200"/>
    </w:pPr>
    <w:rPr>
      <w:rFonts w:ascii="Times New Roman" w:hAnsi="Times New Roman" w:eastAsia="宋体" w:cs="Times New Roman"/>
      <w:szCs w:val="24"/>
    </w:rPr>
  </w:style>
  <w:style w:type="paragraph" w:styleId="41">
    <w:name w:val="List Continue 2"/>
    <w:basedOn w:val="1"/>
    <w:unhideWhenUsed/>
    <w:qFormat/>
    <w:uiPriority w:val="0"/>
    <w:pPr>
      <w:spacing w:after="120"/>
      <w:ind w:left="840" w:leftChars="400"/>
    </w:pPr>
    <w:rPr>
      <w:rFonts w:ascii="Times New Roman" w:hAnsi="Times New Roman" w:eastAsia="宋体" w:cs="Times New Roman"/>
      <w:szCs w:val="24"/>
    </w:rPr>
  </w:style>
  <w:style w:type="paragraph" w:styleId="4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unhideWhenUsed/>
    <w:qFormat/>
    <w:uiPriority w:val="0"/>
    <w:pPr>
      <w:spacing w:line="320" w:lineRule="exact"/>
    </w:pPr>
    <w:rPr>
      <w:rFonts w:ascii="Times New Roman" w:hAnsi="Times New Roman" w:eastAsia="宋体" w:cs="Times New Roman"/>
      <w:snapToGrid w:val="0"/>
      <w:color w:val="FF6600"/>
      <w:kern w:val="0"/>
      <w:sz w:val="18"/>
      <w:szCs w:val="21"/>
    </w:rPr>
  </w:style>
  <w:style w:type="paragraph" w:styleId="44">
    <w:name w:val="index 2"/>
    <w:basedOn w:val="1"/>
    <w:next w:val="1"/>
    <w:unhideWhenUsed/>
    <w:qFormat/>
    <w:uiPriority w:val="0"/>
    <w:pPr>
      <w:ind w:left="200" w:leftChars="200"/>
    </w:pPr>
    <w:rPr>
      <w:rFonts w:ascii="Times New Roman" w:hAnsi="Times New Roman" w:eastAsia="宋体" w:cs="Times New Roman"/>
      <w:szCs w:val="24"/>
    </w:rPr>
  </w:style>
  <w:style w:type="paragraph" w:styleId="45">
    <w:name w:val="Title"/>
    <w:basedOn w:val="1"/>
    <w:link w:val="95"/>
    <w:qFormat/>
    <w:uiPriority w:val="0"/>
    <w:pPr>
      <w:spacing w:before="240" w:after="60"/>
      <w:jc w:val="center"/>
      <w:outlineLvl w:val="0"/>
    </w:pPr>
    <w:rPr>
      <w:rFonts w:ascii="Arial" w:hAnsi="Arial" w:eastAsia="宋体" w:cs="Times New Roman"/>
      <w:b/>
      <w:bCs/>
      <w:kern w:val="0"/>
      <w:sz w:val="32"/>
      <w:szCs w:val="32"/>
    </w:rPr>
  </w:style>
  <w:style w:type="character" w:styleId="47">
    <w:name w:val="page number"/>
    <w:unhideWhenUsed/>
    <w:qFormat/>
    <w:uiPriority w:val="0"/>
    <w:rPr>
      <w:rFonts w:ascii="Calibri" w:hAnsi="Calibri" w:eastAsia="宋体" w:cs="Times New Roman"/>
      <w:kern w:val="2"/>
      <w:sz w:val="21"/>
      <w:szCs w:val="22"/>
      <w:lang w:val="en-US" w:eastAsia="zh-CN" w:bidi="ar-SA"/>
    </w:rPr>
  </w:style>
  <w:style w:type="character" w:styleId="48">
    <w:name w:val="FollowedHyperlink"/>
    <w:unhideWhenUsed/>
    <w:qFormat/>
    <w:uiPriority w:val="0"/>
    <w:rPr>
      <w:rFonts w:ascii="Calibri" w:hAnsi="Calibri" w:eastAsia="宋体" w:cs="Times New Roman"/>
      <w:color w:val="800080"/>
      <w:kern w:val="2"/>
      <w:sz w:val="21"/>
      <w:szCs w:val="22"/>
      <w:u w:val="single"/>
      <w:lang w:val="en-US" w:eastAsia="zh-CN" w:bidi="ar-SA"/>
    </w:rPr>
  </w:style>
  <w:style w:type="character" w:styleId="49">
    <w:name w:val="Emphasis"/>
    <w:qFormat/>
    <w:uiPriority w:val="0"/>
    <w:rPr>
      <w:rFonts w:ascii="Calibri" w:hAnsi="Calibri" w:eastAsia="宋体" w:cs="Times New Roman"/>
      <w:i/>
      <w:iCs/>
      <w:kern w:val="2"/>
      <w:sz w:val="21"/>
      <w:szCs w:val="22"/>
      <w:lang w:val="en-US" w:eastAsia="zh-CN" w:bidi="ar-SA"/>
    </w:rPr>
  </w:style>
  <w:style w:type="character" w:styleId="50">
    <w:name w:val="Hyperlink"/>
    <w:unhideWhenUsed/>
    <w:qFormat/>
    <w:uiPriority w:val="0"/>
    <w:rPr>
      <w:rFonts w:ascii="Calibri" w:hAnsi="Calibri" w:eastAsia="宋体" w:cs="Times New Roman"/>
      <w:color w:val="0000FF"/>
      <w:kern w:val="2"/>
      <w:sz w:val="21"/>
      <w:szCs w:val="22"/>
      <w:u w:val="single"/>
      <w:lang w:val="en-US" w:eastAsia="zh-CN" w:bidi="ar-SA"/>
    </w:rPr>
  </w:style>
  <w:style w:type="character" w:styleId="51">
    <w:name w:val="annotation reference"/>
    <w:unhideWhenUsed/>
    <w:qFormat/>
    <w:uiPriority w:val="0"/>
    <w:rPr>
      <w:rFonts w:ascii="Calibri" w:hAnsi="Calibri" w:eastAsia="宋体" w:cs="Times New Roman"/>
      <w:kern w:val="2"/>
      <w:sz w:val="21"/>
      <w:szCs w:val="21"/>
      <w:lang w:val="en-US" w:eastAsia="zh-CN" w:bidi="ar-SA"/>
    </w:rPr>
  </w:style>
  <w:style w:type="character" w:styleId="52">
    <w:name w:val="footnote reference"/>
    <w:unhideWhenUsed/>
    <w:qFormat/>
    <w:uiPriority w:val="0"/>
    <w:rPr>
      <w:rFonts w:ascii="Calibri" w:hAnsi="Calibri" w:eastAsia="宋体" w:cs="Times New Roman"/>
      <w:kern w:val="2"/>
      <w:sz w:val="21"/>
      <w:szCs w:val="22"/>
      <w:vertAlign w:val="superscript"/>
      <w:lang w:val="en-US" w:eastAsia="zh-CN" w:bidi="ar-SA"/>
    </w:rPr>
  </w:style>
  <w:style w:type="table" w:styleId="54">
    <w:name w:val="Table Grid"/>
    <w:basedOn w:val="53"/>
    <w:qFormat/>
    <w:uiPriority w:val="0"/>
    <w:rPr>
      <w:rFonts w:ascii="Cambria" w:hAnsi="Cambria"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
    <w:name w:val="标题 1 字符1"/>
    <w:link w:val="2"/>
    <w:qFormat/>
    <w:uiPriority w:val="0"/>
    <w:rPr>
      <w:rFonts w:ascii="Times New Roman" w:hAnsi="Times New Roman" w:eastAsia="宋体" w:cs="Times New Roman"/>
      <w:b/>
      <w:bCs/>
      <w:kern w:val="44"/>
      <w:sz w:val="44"/>
      <w:szCs w:val="44"/>
      <w:lang w:val="en-US" w:eastAsia="zh-CN" w:bidi="ar-SA"/>
    </w:rPr>
  </w:style>
  <w:style w:type="character" w:customStyle="1" w:styleId="56">
    <w:name w:val="标题 2 字符1"/>
    <w:link w:val="3"/>
    <w:qFormat/>
    <w:uiPriority w:val="0"/>
    <w:rPr>
      <w:rFonts w:ascii="Arial" w:hAnsi="Arial" w:eastAsia="黑体" w:cs="Times New Roman"/>
      <w:b/>
      <w:bCs/>
      <w:kern w:val="0"/>
      <w:sz w:val="32"/>
      <w:szCs w:val="32"/>
      <w:lang w:val="en-US" w:eastAsia="zh-CN" w:bidi="ar-SA"/>
    </w:rPr>
  </w:style>
  <w:style w:type="character" w:customStyle="1" w:styleId="57">
    <w:name w:val="标题 3 字符1"/>
    <w:link w:val="4"/>
    <w:qFormat/>
    <w:uiPriority w:val="0"/>
    <w:rPr>
      <w:rFonts w:ascii="Times New Roman" w:hAnsi="Times New Roman" w:eastAsia="楷体_GB2312" w:cs="Times New Roman"/>
      <w:kern w:val="0"/>
      <w:sz w:val="28"/>
      <w:szCs w:val="20"/>
      <w:lang w:val="en-US" w:eastAsia="zh-CN" w:bidi="ar-SA"/>
    </w:rPr>
  </w:style>
  <w:style w:type="character" w:customStyle="1" w:styleId="58">
    <w:name w:val="标题 4 字符1"/>
    <w:link w:val="5"/>
    <w:qFormat/>
    <w:uiPriority w:val="0"/>
    <w:rPr>
      <w:rFonts w:ascii="Arial" w:hAnsi="Arial" w:eastAsia="黑体" w:cs="Times New Roman"/>
      <w:b/>
      <w:bCs/>
      <w:kern w:val="0"/>
      <w:sz w:val="28"/>
      <w:szCs w:val="28"/>
      <w:lang w:val="en-US" w:eastAsia="zh-CN" w:bidi="ar-SA"/>
    </w:rPr>
  </w:style>
  <w:style w:type="character" w:customStyle="1" w:styleId="59">
    <w:name w:val="标题 5 字符1"/>
    <w:link w:val="6"/>
    <w:qFormat/>
    <w:uiPriority w:val="0"/>
    <w:rPr>
      <w:rFonts w:ascii="Times New Roman" w:hAnsi="Times New Roman" w:eastAsia="宋体" w:cs="Times New Roman"/>
      <w:b/>
      <w:bCs/>
      <w:kern w:val="0"/>
      <w:sz w:val="28"/>
      <w:szCs w:val="28"/>
      <w:lang w:val="en-US" w:eastAsia="zh-CN" w:bidi="ar-SA"/>
    </w:rPr>
  </w:style>
  <w:style w:type="character" w:customStyle="1" w:styleId="60">
    <w:name w:val="标题 1 字符"/>
    <w:basedOn w:val="46"/>
    <w:qFormat/>
    <w:uiPriority w:val="9"/>
    <w:rPr>
      <w:rFonts w:asciiTheme="minorHAnsi" w:hAnsiTheme="minorHAnsi" w:eastAsiaTheme="minorEastAsia" w:cstheme="minorBidi"/>
      <w:b/>
      <w:bCs/>
      <w:kern w:val="44"/>
      <w:sz w:val="44"/>
      <w:szCs w:val="44"/>
      <w:lang w:val="en-US" w:eastAsia="zh-CN" w:bidi="ar-SA"/>
    </w:rPr>
  </w:style>
  <w:style w:type="character" w:customStyle="1" w:styleId="61">
    <w:name w:val="标题 2 字符"/>
    <w:basedOn w:val="46"/>
    <w:semiHidden/>
    <w:qFormat/>
    <w:uiPriority w:val="9"/>
    <w:rPr>
      <w:rFonts w:asciiTheme="majorHAnsi" w:hAnsiTheme="majorHAnsi" w:eastAsiaTheme="majorEastAsia" w:cstheme="majorBidi"/>
      <w:b/>
      <w:bCs/>
      <w:kern w:val="2"/>
      <w:sz w:val="32"/>
      <w:szCs w:val="32"/>
      <w:lang w:val="en-US" w:eastAsia="zh-CN" w:bidi="ar-SA"/>
    </w:rPr>
  </w:style>
  <w:style w:type="character" w:customStyle="1" w:styleId="62">
    <w:name w:val="标题 3 字符"/>
    <w:basedOn w:val="46"/>
    <w:semiHidden/>
    <w:qFormat/>
    <w:uiPriority w:val="9"/>
    <w:rPr>
      <w:rFonts w:asciiTheme="minorHAnsi" w:hAnsiTheme="minorHAnsi" w:eastAsiaTheme="minorEastAsia" w:cstheme="minorBidi"/>
      <w:b/>
      <w:bCs/>
      <w:kern w:val="2"/>
      <w:sz w:val="32"/>
      <w:szCs w:val="32"/>
      <w:lang w:val="en-US" w:eastAsia="zh-CN" w:bidi="ar-SA"/>
    </w:rPr>
  </w:style>
  <w:style w:type="character" w:customStyle="1" w:styleId="63">
    <w:name w:val="标题 4 字符"/>
    <w:basedOn w:val="46"/>
    <w:semiHidden/>
    <w:qFormat/>
    <w:uiPriority w:val="9"/>
    <w:rPr>
      <w:rFonts w:asciiTheme="majorHAnsi" w:hAnsiTheme="majorHAnsi" w:eastAsiaTheme="majorEastAsia" w:cstheme="majorBidi"/>
      <w:b/>
      <w:bCs/>
      <w:kern w:val="2"/>
      <w:sz w:val="28"/>
      <w:szCs w:val="28"/>
      <w:lang w:val="en-US" w:eastAsia="zh-CN" w:bidi="ar-SA"/>
    </w:rPr>
  </w:style>
  <w:style w:type="character" w:customStyle="1" w:styleId="64">
    <w:name w:val="标题 5 字符"/>
    <w:basedOn w:val="46"/>
    <w:semiHidden/>
    <w:qFormat/>
    <w:uiPriority w:val="9"/>
    <w:rPr>
      <w:rFonts w:asciiTheme="minorHAnsi" w:hAnsiTheme="minorHAnsi" w:eastAsiaTheme="minorEastAsia" w:cstheme="minorBidi"/>
      <w:b/>
      <w:bCs/>
      <w:kern w:val="2"/>
      <w:sz w:val="28"/>
      <w:szCs w:val="28"/>
      <w:lang w:val="en-US" w:eastAsia="zh-CN" w:bidi="ar-SA"/>
    </w:rPr>
  </w:style>
  <w:style w:type="character" w:customStyle="1" w:styleId="65">
    <w:name w:val="批注文字 字符"/>
    <w:basedOn w:val="46"/>
    <w:link w:val="9"/>
    <w:semiHidden/>
    <w:qFormat/>
    <w:uiPriority w:val="99"/>
    <w:rPr>
      <w:rFonts w:asciiTheme="minorHAnsi" w:hAnsiTheme="minorHAnsi" w:eastAsiaTheme="minorEastAsia" w:cstheme="minorBidi"/>
      <w:kern w:val="2"/>
      <w:sz w:val="21"/>
      <w:szCs w:val="22"/>
      <w:lang w:val="en-US" w:eastAsia="zh-CN" w:bidi="ar-SA"/>
    </w:rPr>
  </w:style>
  <w:style w:type="character" w:customStyle="1" w:styleId="66">
    <w:name w:val="批注主题 字符"/>
    <w:basedOn w:val="65"/>
    <w:link w:val="8"/>
    <w:qFormat/>
    <w:uiPriority w:val="0"/>
    <w:rPr>
      <w:rFonts w:ascii="Times New Roman" w:hAnsi="Times New Roman" w:eastAsia="宋体" w:cs="Times New Roman"/>
      <w:b/>
      <w:bCs/>
      <w:szCs w:val="24"/>
    </w:rPr>
  </w:style>
  <w:style w:type="character" w:customStyle="1" w:styleId="67">
    <w:name w:val="正文文本 字符"/>
    <w:basedOn w:val="46"/>
    <w:link w:val="12"/>
    <w:semiHidden/>
    <w:qFormat/>
    <w:uiPriority w:val="99"/>
    <w:rPr>
      <w:rFonts w:asciiTheme="minorHAnsi" w:hAnsiTheme="minorHAnsi" w:eastAsiaTheme="minorEastAsia" w:cstheme="minorBidi"/>
      <w:kern w:val="2"/>
      <w:sz w:val="21"/>
      <w:szCs w:val="22"/>
      <w:lang w:val="en-US" w:eastAsia="zh-CN" w:bidi="ar-SA"/>
    </w:rPr>
  </w:style>
  <w:style w:type="character" w:customStyle="1" w:styleId="68">
    <w:name w:val="正文首行缩进 字符1"/>
    <w:link w:val="11"/>
    <w:qFormat/>
    <w:uiPriority w:val="0"/>
    <w:rPr>
      <w:rFonts w:ascii="Times New Roman" w:hAnsi="Times New Roman" w:eastAsia="宋体" w:cs="Times New Roman"/>
      <w:kern w:val="0"/>
      <w:sz w:val="20"/>
      <w:szCs w:val="24"/>
      <w:lang w:val="en-US" w:eastAsia="zh-CN" w:bidi="ar-SA"/>
    </w:rPr>
  </w:style>
  <w:style w:type="character" w:customStyle="1" w:styleId="69">
    <w:name w:val="正文首行缩进 字符"/>
    <w:basedOn w:val="67"/>
    <w:semiHidden/>
    <w:qFormat/>
    <w:uiPriority w:val="99"/>
  </w:style>
  <w:style w:type="character" w:customStyle="1" w:styleId="70">
    <w:name w:val="正文缩进 字符"/>
    <w:link w:val="13"/>
    <w:qFormat/>
    <w:uiPriority w:val="0"/>
    <w:rPr>
      <w:rFonts w:ascii="宋体" w:hAnsi="Times New Roman" w:eastAsia="宋体" w:cs="Times New Roman"/>
      <w:kern w:val="2"/>
      <w:sz w:val="34"/>
      <w:szCs w:val="22"/>
      <w:lang w:val="en-US" w:eastAsia="zh-CN" w:bidi="ar-SA"/>
    </w:rPr>
  </w:style>
  <w:style w:type="character" w:customStyle="1" w:styleId="71">
    <w:name w:val="文档结构图 字符1"/>
    <w:link w:val="15"/>
    <w:qFormat/>
    <w:uiPriority w:val="0"/>
    <w:rPr>
      <w:rFonts w:ascii="Times New Roman" w:hAnsi="Times New Roman" w:eastAsia="宋体" w:cs="Times New Roman"/>
      <w:kern w:val="0"/>
      <w:sz w:val="20"/>
      <w:szCs w:val="24"/>
      <w:lang w:val="en-US" w:eastAsia="zh-CN" w:bidi="ar-SA"/>
    </w:rPr>
  </w:style>
  <w:style w:type="character" w:customStyle="1" w:styleId="72">
    <w:name w:val="文档结构图 字符"/>
    <w:basedOn w:val="46"/>
    <w:semiHidden/>
    <w:qFormat/>
    <w:uiPriority w:val="99"/>
    <w:rPr>
      <w:rFonts w:ascii="Microsoft YaHei UI" w:eastAsia="Microsoft YaHei UI" w:hAnsiTheme="minorHAnsi" w:cstheme="minorBidi"/>
      <w:kern w:val="2"/>
      <w:sz w:val="18"/>
      <w:szCs w:val="18"/>
      <w:lang w:val="en-US" w:eastAsia="zh-CN" w:bidi="ar-SA"/>
    </w:rPr>
  </w:style>
  <w:style w:type="character" w:customStyle="1" w:styleId="73">
    <w:name w:val="正文文本缩进 字符2"/>
    <w:basedOn w:val="46"/>
    <w:link w:val="17"/>
    <w:qFormat/>
    <w:uiPriority w:val="0"/>
    <w:rPr>
      <w:rFonts w:ascii="Calibri" w:hAnsi="Calibri" w:eastAsia="宋体" w:cs="Times New Roman"/>
      <w:kern w:val="2"/>
      <w:sz w:val="21"/>
      <w:szCs w:val="22"/>
      <w:lang w:val="en-US" w:eastAsia="zh-CN" w:bidi="ar-SA"/>
    </w:rPr>
  </w:style>
  <w:style w:type="character" w:customStyle="1" w:styleId="74">
    <w:name w:val="正文文本缩进 字符"/>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75">
    <w:name w:val="纯文本 字符1"/>
    <w:link w:val="21"/>
    <w:qFormat/>
    <w:uiPriority w:val="0"/>
    <w:rPr>
      <w:rFonts w:ascii="宋体" w:hAnsi="Courier New" w:eastAsia="宋体" w:cs="Times New Roman"/>
      <w:kern w:val="0"/>
      <w:sz w:val="20"/>
      <w:szCs w:val="21"/>
      <w:lang w:val="en-US" w:eastAsia="zh-CN" w:bidi="ar-SA"/>
    </w:rPr>
  </w:style>
  <w:style w:type="character" w:customStyle="1" w:styleId="76">
    <w:name w:val="纯文本 字符"/>
    <w:basedOn w:val="46"/>
    <w:qFormat/>
    <w:uiPriority w:val="0"/>
    <w:rPr>
      <w:rFonts w:hAnsi="Courier New" w:cs="Courier New" w:asciiTheme="minorEastAsia" w:eastAsiaTheme="minorEastAsia"/>
      <w:kern w:val="2"/>
      <w:sz w:val="21"/>
      <w:szCs w:val="22"/>
      <w:lang w:val="en-US" w:eastAsia="zh-CN" w:bidi="ar-SA"/>
    </w:rPr>
  </w:style>
  <w:style w:type="character" w:customStyle="1" w:styleId="77">
    <w:name w:val="日期 字符1"/>
    <w:link w:val="24"/>
    <w:qFormat/>
    <w:uiPriority w:val="0"/>
    <w:rPr>
      <w:rFonts w:ascii="Times New Roman" w:hAnsi="Times New Roman" w:eastAsia="宋体" w:cs="Times New Roman"/>
      <w:b/>
      <w:bCs/>
      <w:kern w:val="0"/>
      <w:sz w:val="36"/>
      <w:szCs w:val="24"/>
      <w:lang w:val="en-US" w:eastAsia="zh-CN" w:bidi="ar-SA"/>
    </w:rPr>
  </w:style>
  <w:style w:type="character" w:customStyle="1" w:styleId="78">
    <w:name w:val="日期 字符"/>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79">
    <w:name w:val="正文文本缩进 2 字符1"/>
    <w:link w:val="25"/>
    <w:qFormat/>
    <w:uiPriority w:val="0"/>
    <w:rPr>
      <w:rFonts w:ascii="Times New Roman" w:hAnsi="Times New Roman" w:eastAsia="宋体" w:cs="Times New Roman"/>
      <w:kern w:val="0"/>
      <w:sz w:val="20"/>
      <w:szCs w:val="24"/>
      <w:lang w:val="en-US" w:eastAsia="zh-CN" w:bidi="ar-SA"/>
    </w:rPr>
  </w:style>
  <w:style w:type="character" w:customStyle="1" w:styleId="80">
    <w:name w:val="正文文本缩进 2 字符"/>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81">
    <w:name w:val="批注框文本 字符1"/>
    <w:link w:val="26"/>
    <w:qFormat/>
    <w:uiPriority w:val="0"/>
    <w:rPr>
      <w:rFonts w:ascii="Times New Roman" w:hAnsi="Times New Roman" w:eastAsia="宋体" w:cs="Times New Roman"/>
      <w:kern w:val="0"/>
      <w:sz w:val="18"/>
      <w:szCs w:val="18"/>
      <w:lang w:val="en-US" w:eastAsia="zh-CN" w:bidi="ar-SA"/>
    </w:rPr>
  </w:style>
  <w:style w:type="character" w:customStyle="1" w:styleId="82">
    <w:name w:val="批注框文本 字符"/>
    <w:basedOn w:val="46"/>
    <w:semiHidden/>
    <w:qFormat/>
    <w:uiPriority w:val="99"/>
    <w:rPr>
      <w:rFonts w:asciiTheme="minorHAnsi" w:hAnsiTheme="minorHAnsi" w:eastAsiaTheme="minorEastAsia" w:cstheme="minorBidi"/>
      <w:kern w:val="2"/>
      <w:sz w:val="18"/>
      <w:szCs w:val="18"/>
      <w:lang w:val="en-US" w:eastAsia="zh-CN" w:bidi="ar-SA"/>
    </w:rPr>
  </w:style>
  <w:style w:type="character" w:customStyle="1" w:styleId="83">
    <w:name w:val="页脚 字符1"/>
    <w:link w:val="27"/>
    <w:qFormat/>
    <w:uiPriority w:val="0"/>
    <w:rPr>
      <w:rFonts w:ascii="Times New Roman" w:hAnsi="Times New Roman" w:eastAsia="宋体" w:cs="Times New Roman"/>
      <w:kern w:val="0"/>
      <w:sz w:val="18"/>
      <w:szCs w:val="18"/>
      <w:lang w:val="en-US" w:eastAsia="zh-CN" w:bidi="ar-SA"/>
    </w:rPr>
  </w:style>
  <w:style w:type="character" w:customStyle="1" w:styleId="84">
    <w:name w:val="页脚 字符"/>
    <w:basedOn w:val="46"/>
    <w:qFormat/>
    <w:uiPriority w:val="99"/>
    <w:rPr>
      <w:rFonts w:asciiTheme="minorHAnsi" w:hAnsiTheme="minorHAnsi" w:eastAsiaTheme="minorEastAsia" w:cstheme="minorBidi"/>
      <w:kern w:val="2"/>
      <w:sz w:val="18"/>
      <w:szCs w:val="18"/>
      <w:lang w:val="en-US" w:eastAsia="zh-CN" w:bidi="ar-SA"/>
    </w:rPr>
  </w:style>
  <w:style w:type="character" w:customStyle="1" w:styleId="85">
    <w:name w:val="正文首行缩进 2 字符1"/>
    <w:link w:val="28"/>
    <w:qFormat/>
    <w:uiPriority w:val="0"/>
    <w:rPr>
      <w:rFonts w:ascii="Times New Roman" w:hAnsi="Times New Roman" w:eastAsiaTheme="minorEastAsia" w:cstheme="minorBidi"/>
      <w:kern w:val="0"/>
      <w:sz w:val="20"/>
      <w:szCs w:val="24"/>
      <w:lang w:val="en-US" w:eastAsia="zh-CN" w:bidi="ar-SA"/>
    </w:rPr>
  </w:style>
  <w:style w:type="character" w:customStyle="1" w:styleId="86">
    <w:name w:val="正文首行缩进 2 字符"/>
    <w:basedOn w:val="74"/>
    <w:semiHidden/>
    <w:qFormat/>
    <w:uiPriority w:val="99"/>
  </w:style>
  <w:style w:type="character" w:customStyle="1" w:styleId="87">
    <w:name w:val="页眉 字符1"/>
    <w:link w:val="29"/>
    <w:qFormat/>
    <w:uiPriority w:val="0"/>
    <w:rPr>
      <w:rFonts w:ascii="Times New Roman" w:hAnsi="Times New Roman" w:eastAsia="宋体" w:cs="Times New Roman"/>
      <w:kern w:val="0"/>
      <w:sz w:val="18"/>
      <w:szCs w:val="18"/>
      <w:lang w:val="en-US" w:eastAsia="zh-CN" w:bidi="ar-SA"/>
    </w:rPr>
  </w:style>
  <w:style w:type="character" w:customStyle="1" w:styleId="88">
    <w:name w:val="页眉 字符"/>
    <w:basedOn w:val="46"/>
    <w:qFormat/>
    <w:uiPriority w:val="99"/>
    <w:rPr>
      <w:rFonts w:asciiTheme="minorHAnsi" w:hAnsiTheme="minorHAnsi" w:eastAsiaTheme="minorEastAsia" w:cstheme="minorBidi"/>
      <w:kern w:val="2"/>
      <w:sz w:val="18"/>
      <w:szCs w:val="18"/>
      <w:lang w:val="en-US" w:eastAsia="zh-CN" w:bidi="ar-SA"/>
    </w:rPr>
  </w:style>
  <w:style w:type="character" w:customStyle="1" w:styleId="89">
    <w:name w:val="脚注文本 字符1"/>
    <w:link w:val="33"/>
    <w:qFormat/>
    <w:uiPriority w:val="0"/>
    <w:rPr>
      <w:rFonts w:ascii="Times New Roman" w:hAnsi="Times New Roman" w:eastAsia="宋体" w:cs="Times New Roman"/>
      <w:kern w:val="0"/>
      <w:sz w:val="18"/>
      <w:szCs w:val="18"/>
      <w:lang w:val="en-US" w:eastAsia="zh-CN" w:bidi="ar-SA"/>
    </w:rPr>
  </w:style>
  <w:style w:type="character" w:customStyle="1" w:styleId="90">
    <w:name w:val="脚注文本 字符"/>
    <w:basedOn w:val="46"/>
    <w:semiHidden/>
    <w:qFormat/>
    <w:uiPriority w:val="99"/>
    <w:rPr>
      <w:rFonts w:asciiTheme="minorHAnsi" w:hAnsiTheme="minorHAnsi" w:eastAsiaTheme="minorEastAsia" w:cstheme="minorBidi"/>
      <w:kern w:val="2"/>
      <w:sz w:val="18"/>
      <w:szCs w:val="18"/>
      <w:lang w:val="en-US" w:eastAsia="zh-CN" w:bidi="ar-SA"/>
    </w:rPr>
  </w:style>
  <w:style w:type="character" w:customStyle="1" w:styleId="91">
    <w:name w:val="正文文本缩进 3 字符1"/>
    <w:link w:val="35"/>
    <w:qFormat/>
    <w:uiPriority w:val="0"/>
    <w:rPr>
      <w:rFonts w:ascii="Times New Roman" w:hAnsi="Times New Roman" w:eastAsia="宋体" w:cs="Times New Roman"/>
      <w:kern w:val="0"/>
      <w:sz w:val="24"/>
      <w:szCs w:val="24"/>
      <w:lang w:val="en-US" w:eastAsia="zh-CN" w:bidi="ar-SA"/>
    </w:rPr>
  </w:style>
  <w:style w:type="character" w:customStyle="1" w:styleId="92">
    <w:name w:val="正文文本缩进 3 字符"/>
    <w:basedOn w:val="46"/>
    <w:semiHidden/>
    <w:qFormat/>
    <w:uiPriority w:val="99"/>
    <w:rPr>
      <w:rFonts w:asciiTheme="minorHAnsi" w:hAnsiTheme="minorHAnsi" w:eastAsiaTheme="minorEastAsia" w:cstheme="minorBidi"/>
      <w:kern w:val="2"/>
      <w:sz w:val="16"/>
      <w:szCs w:val="16"/>
      <w:lang w:val="en-US" w:eastAsia="zh-CN" w:bidi="ar-SA"/>
    </w:rPr>
  </w:style>
  <w:style w:type="character" w:customStyle="1" w:styleId="93">
    <w:name w:val="正文文本 2 字符1"/>
    <w:link w:val="39"/>
    <w:qFormat/>
    <w:uiPriority w:val="0"/>
    <w:rPr>
      <w:rFonts w:ascii="Times New Roman" w:hAnsi="Times New Roman" w:eastAsia="宋体" w:cs="Times New Roman"/>
      <w:kern w:val="0"/>
      <w:sz w:val="20"/>
      <w:szCs w:val="24"/>
      <w:lang w:val="en-US" w:eastAsia="zh-CN" w:bidi="ar-SA"/>
    </w:rPr>
  </w:style>
  <w:style w:type="character" w:customStyle="1" w:styleId="94">
    <w:name w:val="正文文本 2 字符"/>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95">
    <w:name w:val="标题 字符1"/>
    <w:link w:val="45"/>
    <w:qFormat/>
    <w:uiPriority w:val="0"/>
    <w:rPr>
      <w:rFonts w:ascii="Arial" w:hAnsi="Arial" w:eastAsia="宋体" w:cs="Times New Roman"/>
      <w:b/>
      <w:bCs/>
      <w:kern w:val="0"/>
      <w:sz w:val="32"/>
      <w:szCs w:val="32"/>
      <w:lang w:val="en-US" w:eastAsia="zh-CN" w:bidi="ar-SA"/>
    </w:rPr>
  </w:style>
  <w:style w:type="character" w:customStyle="1" w:styleId="96">
    <w:name w:val="标题 字符"/>
    <w:basedOn w:val="46"/>
    <w:qFormat/>
    <w:uiPriority w:val="10"/>
    <w:rPr>
      <w:rFonts w:asciiTheme="majorHAnsi" w:hAnsiTheme="majorHAnsi" w:eastAsiaTheme="majorEastAsia" w:cstheme="majorBidi"/>
      <w:b/>
      <w:bCs/>
      <w:kern w:val="2"/>
      <w:sz w:val="32"/>
      <w:szCs w:val="32"/>
      <w:lang w:val="en-US" w:eastAsia="zh-CN" w:bidi="ar-SA"/>
    </w:rPr>
  </w:style>
  <w:style w:type="paragraph" w:customStyle="1" w:styleId="97">
    <w:name w:val="19"/>
    <w:basedOn w:val="1"/>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98">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99">
    <w:name w:val="正文段"/>
    <w:basedOn w:val="1"/>
    <w:qFormat/>
    <w:uiPriority w:val="0"/>
    <w:pPr>
      <w:spacing w:line="360" w:lineRule="auto"/>
      <w:ind w:firstLine="420"/>
    </w:pPr>
    <w:rPr>
      <w:rFonts w:ascii="宋体" w:hAnsi="Times New Roman" w:eastAsia="宋体" w:cs="Times New Roman"/>
      <w:sz w:val="24"/>
      <w:szCs w:val="24"/>
    </w:rPr>
  </w:style>
  <w:style w:type="paragraph" w:customStyle="1" w:styleId="100">
    <w:name w:val="0"/>
    <w:basedOn w:val="1"/>
    <w:qFormat/>
    <w:uiPriority w:val="0"/>
    <w:pPr>
      <w:widowControl/>
    </w:pPr>
    <w:rPr>
      <w:rFonts w:ascii="Times New Roman" w:hAnsi="Times New Roman" w:eastAsia="宋体" w:cs="Times New Roman"/>
      <w:kern w:val="0"/>
      <w:szCs w:val="20"/>
    </w:rPr>
  </w:style>
  <w:style w:type="paragraph" w:customStyle="1" w:styleId="101">
    <w:name w:val="z-窗体底端1"/>
    <w:basedOn w:val="1"/>
    <w:next w:val="1"/>
    <w:link w:val="102"/>
    <w:qFormat/>
    <w:uiPriority w:val="0"/>
    <w:pPr>
      <w:pBdr>
        <w:top w:val="single" w:color="auto" w:sz="6" w:space="1"/>
      </w:pBdr>
      <w:jc w:val="center"/>
    </w:pPr>
    <w:rPr>
      <w:rFonts w:ascii="Arial" w:hAnsi="Arial" w:eastAsia="宋体" w:cs="Times New Roman"/>
      <w:vanish/>
      <w:kern w:val="0"/>
      <w:sz w:val="16"/>
      <w:szCs w:val="16"/>
    </w:rPr>
  </w:style>
  <w:style w:type="character" w:customStyle="1" w:styleId="102">
    <w:name w:val="z-窗体底端 字符1"/>
    <w:link w:val="101"/>
    <w:uiPriority w:val="0"/>
    <w:rPr>
      <w:rFonts w:ascii="Arial" w:hAnsi="Arial" w:eastAsia="宋体" w:cs="Times New Roman"/>
      <w:vanish/>
      <w:kern w:val="0"/>
      <w:sz w:val="16"/>
      <w:szCs w:val="16"/>
      <w:lang w:val="en-US" w:eastAsia="zh-CN" w:bidi="ar-SA"/>
    </w:rPr>
  </w:style>
  <w:style w:type="paragraph" w:customStyle="1" w:styleId="103">
    <w:name w:val="Char Char Char Char"/>
    <w:basedOn w:val="1"/>
    <w:uiPriority w:val="0"/>
    <w:rPr>
      <w:rFonts w:ascii="仿宋_GB2312" w:hAnsi="Times New Roman" w:eastAsia="仿宋_GB2312" w:cs="Times New Roman"/>
      <w:b/>
      <w:sz w:val="32"/>
      <w:szCs w:val="32"/>
    </w:rPr>
  </w:style>
  <w:style w:type="paragraph" w:customStyle="1" w:styleId="104">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5">
    <w:name w:val="_Style 5"/>
    <w:basedOn w:val="1"/>
    <w:next w:val="1"/>
    <w:qFormat/>
    <w:uiPriority w:val="0"/>
    <w:rPr>
      <w:rFonts w:ascii="Times New Roman" w:hAnsi="Times New Roman" w:eastAsia="宋体" w:cs="Times New Roman"/>
      <w:szCs w:val="20"/>
    </w:rPr>
  </w:style>
  <w:style w:type="paragraph" w:customStyle="1" w:styleId="106">
    <w:name w:val="彩色底纹 - 强调文字颜色 31"/>
    <w:basedOn w:val="1"/>
    <w:qFormat/>
    <w:uiPriority w:val="34"/>
    <w:pPr>
      <w:ind w:firstLine="420" w:firstLineChars="200"/>
    </w:pPr>
    <w:rPr>
      <w:rFonts w:ascii="宋体" w:hAnsi="Times New Roman" w:eastAsia="宋体" w:cs="Times New Roman"/>
      <w:bCs/>
      <w:sz w:val="28"/>
      <w:szCs w:val="20"/>
    </w:rPr>
  </w:style>
  <w:style w:type="paragraph" w:customStyle="1" w:styleId="107">
    <w:name w:val="List Paragraph1"/>
    <w:basedOn w:val="1"/>
    <w:qFormat/>
    <w:uiPriority w:val="99"/>
    <w:pPr>
      <w:spacing w:before="100" w:beforeAutospacing="1" w:after="100" w:afterAutospacing="1" w:line="300" w:lineRule="auto"/>
      <w:ind w:firstLine="420" w:firstLineChars="200"/>
    </w:pPr>
    <w:rPr>
      <w:rFonts w:ascii="Calibri" w:hAnsi="Calibri" w:eastAsia="宋体" w:cs="Times New Roman"/>
    </w:rPr>
  </w:style>
  <w:style w:type="paragraph" w:customStyle="1" w:styleId="108">
    <w:name w:val="1 Char Char Char"/>
    <w:basedOn w:val="1"/>
    <w:next w:val="4"/>
    <w:uiPriority w:val="0"/>
    <w:pPr>
      <w:spacing w:line="500" w:lineRule="exact"/>
      <w:ind w:firstLine="200"/>
      <w:jc w:val="center"/>
    </w:pPr>
    <w:rPr>
      <w:rFonts w:ascii="仿宋_GB2312" w:hAnsi="Arial" w:eastAsia="仿宋_GB2312" w:cs="Arial"/>
      <w:bCs/>
      <w:sz w:val="32"/>
      <w:szCs w:val="32"/>
    </w:rPr>
  </w:style>
  <w:style w:type="paragraph" w:customStyle="1" w:styleId="109">
    <w:name w:val="样式2"/>
    <w:basedOn w:val="36"/>
    <w:qFormat/>
    <w:uiPriority w:val="0"/>
    <w:pPr>
      <w:ind w:firstLine="2720"/>
    </w:pPr>
    <w:rPr>
      <w:bCs/>
    </w:rPr>
  </w:style>
  <w:style w:type="paragraph" w:customStyle="1" w:styleId="110">
    <w:name w:val="彩色列表 - 强调文字颜色 12"/>
    <w:basedOn w:val="1"/>
    <w:qFormat/>
    <w:uiPriority w:val="34"/>
    <w:pPr>
      <w:ind w:firstLine="420" w:firstLineChars="200"/>
    </w:pPr>
    <w:rPr>
      <w:rFonts w:ascii="宋体" w:hAnsi="Times New Roman" w:eastAsia="宋体" w:cs="Times New Roman"/>
      <w:bCs/>
      <w:sz w:val="28"/>
      <w:szCs w:val="20"/>
    </w:rPr>
  </w:style>
  <w:style w:type="paragraph" w:customStyle="1" w:styleId="111">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112">
    <w:name w:val="Char1"/>
    <w:basedOn w:val="1"/>
    <w:qFormat/>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113">
    <w:name w:val="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14">
    <w:name w:val="默认段落字体 Para Char Char Char Char"/>
    <w:basedOn w:val="1"/>
    <w:uiPriority w:val="0"/>
    <w:pPr>
      <w:spacing w:line="360" w:lineRule="auto"/>
      <w:ind w:firstLine="200" w:firstLineChars="200"/>
    </w:pPr>
    <w:rPr>
      <w:rFonts w:ascii="宋体" w:hAnsi="宋体" w:eastAsia="宋体" w:cs="宋体"/>
      <w:sz w:val="24"/>
      <w:szCs w:val="24"/>
    </w:rPr>
  </w:style>
  <w:style w:type="paragraph" w:customStyle="1" w:styleId="115">
    <w:name w:val="_Style 10"/>
    <w:basedOn w:val="1"/>
    <w:next w:val="1"/>
    <w:qFormat/>
    <w:uiPriority w:val="0"/>
    <w:rPr>
      <w:rFonts w:ascii="Times New Roman" w:hAnsi="Times New Roman" w:eastAsia="宋体" w:cs="Times New Roman"/>
      <w:szCs w:val="24"/>
    </w:rPr>
  </w:style>
  <w:style w:type="paragraph" w:customStyle="1" w:styleId="116">
    <w:name w:val="末级"/>
    <w:basedOn w:val="1"/>
    <w:qFormat/>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117">
    <w:name w:val="样式3"/>
    <w:basedOn w:val="4"/>
    <w:qFormat/>
    <w:uiPriority w:val="0"/>
    <w:pPr>
      <w:keepNext/>
      <w:keepLines/>
      <w:spacing w:before="120" w:after="120" w:line="360" w:lineRule="auto"/>
    </w:pPr>
    <w:rPr>
      <w:rFonts w:eastAsia="宋体"/>
      <w:sz w:val="24"/>
      <w:szCs w:val="24"/>
    </w:rPr>
  </w:style>
  <w:style w:type="paragraph" w:customStyle="1" w:styleId="118">
    <w:name w:val="z-窗体顶端1"/>
    <w:basedOn w:val="1"/>
    <w:next w:val="1"/>
    <w:link w:val="119"/>
    <w:qFormat/>
    <w:uiPriority w:val="0"/>
    <w:pPr>
      <w:pBdr>
        <w:bottom w:val="single" w:color="auto" w:sz="6" w:space="1"/>
      </w:pBdr>
      <w:jc w:val="center"/>
    </w:pPr>
    <w:rPr>
      <w:rFonts w:ascii="Arial" w:hAnsi="Arial" w:eastAsia="宋体" w:cs="Times New Roman"/>
      <w:vanish/>
      <w:kern w:val="0"/>
      <w:sz w:val="16"/>
      <w:szCs w:val="16"/>
    </w:rPr>
  </w:style>
  <w:style w:type="character" w:customStyle="1" w:styleId="119">
    <w:name w:val="z-窗体顶端 字符1"/>
    <w:link w:val="118"/>
    <w:qFormat/>
    <w:uiPriority w:val="0"/>
    <w:rPr>
      <w:rFonts w:ascii="Arial" w:hAnsi="Arial" w:eastAsia="宋体" w:cs="Times New Roman"/>
      <w:vanish/>
      <w:kern w:val="0"/>
      <w:sz w:val="16"/>
      <w:szCs w:val="16"/>
      <w:lang w:val="en-US" w:eastAsia="zh-CN" w:bidi="ar-SA"/>
    </w:rPr>
  </w:style>
  <w:style w:type="paragraph" w:customStyle="1" w:styleId="120">
    <w:name w:val="样式 样式1 + 首行缩进:  2 字符"/>
    <w:basedOn w:val="121"/>
    <w:link w:val="122"/>
    <w:qFormat/>
    <w:uiPriority w:val="0"/>
    <w:pPr>
      <w:spacing w:line="360" w:lineRule="exact"/>
      <w:ind w:firstLine="420" w:firstLineChars="200"/>
      <w:jc w:val="both"/>
    </w:pPr>
    <w:rPr>
      <w:rFonts w:ascii="Arial" w:hAnsi="Arial"/>
      <w:sz w:val="24"/>
      <w:szCs w:val="22"/>
    </w:rPr>
  </w:style>
  <w:style w:type="paragraph" w:customStyle="1" w:styleId="121">
    <w:name w:val="样式1"/>
    <w:basedOn w:val="1"/>
    <w:qFormat/>
    <w:uiPriority w:val="0"/>
    <w:pPr>
      <w:spacing w:line="360" w:lineRule="auto"/>
      <w:jc w:val="center"/>
    </w:pPr>
    <w:rPr>
      <w:rFonts w:ascii="宋体" w:hAnsi="宋体" w:eastAsia="宋体" w:cs="Times New Roman"/>
      <w:sz w:val="32"/>
      <w:szCs w:val="30"/>
    </w:rPr>
  </w:style>
  <w:style w:type="character" w:customStyle="1" w:styleId="122">
    <w:name w:val="样式 样式1 + 首行缩进:  2 字符 Char"/>
    <w:link w:val="120"/>
    <w:qFormat/>
    <w:uiPriority w:val="0"/>
    <w:rPr>
      <w:rFonts w:ascii="Arial" w:hAnsi="Arial" w:eastAsiaTheme="minorEastAsia" w:cstheme="minorBidi"/>
      <w:kern w:val="2"/>
      <w:sz w:val="24"/>
      <w:szCs w:val="22"/>
      <w:lang w:val="en-US" w:eastAsia="zh-CN" w:bidi="ar-SA"/>
    </w:rPr>
  </w:style>
  <w:style w:type="paragraph" w:customStyle="1" w:styleId="123">
    <w:name w:val="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24">
    <w:name w:val="小正文"/>
    <w:basedOn w:val="1"/>
    <w:link w:val="125"/>
    <w:qFormat/>
    <w:uiPriority w:val="0"/>
    <w:pPr>
      <w:spacing w:line="560" w:lineRule="exact"/>
      <w:ind w:firstLine="560" w:firstLineChars="200"/>
      <w:jc w:val="left"/>
    </w:pPr>
    <w:rPr>
      <w:rFonts w:ascii="仿宋_GB2312" w:hAnsi="宋体" w:eastAsia="仿宋_GB2312" w:cs="Times New Roman"/>
      <w:sz w:val="28"/>
      <w:szCs w:val="28"/>
      <w:lang w:val="zh-CN"/>
    </w:rPr>
  </w:style>
  <w:style w:type="character" w:customStyle="1" w:styleId="125">
    <w:name w:val="小正文 Char"/>
    <w:link w:val="124"/>
    <w:qFormat/>
    <w:uiPriority w:val="0"/>
    <w:rPr>
      <w:rFonts w:ascii="仿宋_GB2312" w:hAnsi="宋体" w:eastAsia="仿宋_GB2312" w:cs="Times New Roman"/>
      <w:kern w:val="2"/>
      <w:sz w:val="28"/>
      <w:szCs w:val="28"/>
      <w:lang w:val="zh-CN" w:eastAsia="zh-CN" w:bidi="ar-SA"/>
    </w:rPr>
  </w:style>
  <w:style w:type="paragraph" w:customStyle="1" w:styleId="126">
    <w:name w:val="样式 标题 1 + (符号) Arial 三号"/>
    <w:basedOn w:val="2"/>
    <w:qFormat/>
    <w:uiPriority w:val="0"/>
    <w:pPr>
      <w:snapToGrid w:val="0"/>
      <w:spacing w:before="0" w:after="0" w:line="360" w:lineRule="auto"/>
    </w:pPr>
    <w:rPr>
      <w:sz w:val="32"/>
    </w:rPr>
  </w:style>
  <w:style w:type="paragraph" w:customStyle="1" w:styleId="127">
    <w:name w:val="样式 一号 加粗 居中"/>
    <w:basedOn w:val="1"/>
    <w:qFormat/>
    <w:uiPriority w:val="0"/>
    <w:pPr>
      <w:jc w:val="center"/>
    </w:pPr>
    <w:rPr>
      <w:rFonts w:ascii="Times New Roman" w:hAnsi="Times New Roman" w:eastAsia="宋体" w:cs="宋体"/>
      <w:bCs/>
      <w:sz w:val="52"/>
      <w:szCs w:val="20"/>
    </w:rPr>
  </w:style>
  <w:style w:type="paragraph" w:customStyle="1" w:styleId="128">
    <w:name w:val="列出段落1"/>
    <w:basedOn w:val="1"/>
    <w:qFormat/>
    <w:uiPriority w:val="0"/>
    <w:pPr>
      <w:ind w:firstLine="420" w:firstLineChars="200"/>
    </w:pPr>
    <w:rPr>
      <w:rFonts w:ascii="Calibri" w:hAnsi="Calibri" w:eastAsia="宋体" w:cs="Times New Roman"/>
    </w:rPr>
  </w:style>
  <w:style w:type="paragraph" w:customStyle="1" w:styleId="129">
    <w:name w:val="Char Char Char Char Char Char Char"/>
    <w:basedOn w:val="1"/>
    <w:uiPriority w:val="0"/>
    <w:pPr>
      <w:widowControl/>
      <w:spacing w:after="160" w:line="240" w:lineRule="exact"/>
      <w:jc w:val="left"/>
    </w:pPr>
    <w:rPr>
      <w:rFonts w:ascii="Times New Roman" w:hAnsi="Times New Roman" w:eastAsia="宋体" w:cs="Times New Roman"/>
      <w:szCs w:val="20"/>
    </w:rPr>
  </w:style>
  <w:style w:type="paragraph" w:customStyle="1" w:styleId="130">
    <w:name w:val="彩色列表 - 强调文字颜色 13"/>
    <w:basedOn w:val="1"/>
    <w:qFormat/>
    <w:uiPriority w:val="34"/>
    <w:pPr>
      <w:ind w:firstLine="420" w:firstLineChars="200"/>
    </w:pPr>
    <w:rPr>
      <w:rFonts w:ascii="Calibri" w:hAnsi="Calibri" w:eastAsia="宋体" w:cs="Times New Roman"/>
    </w:rPr>
  </w:style>
  <w:style w:type="paragraph" w:customStyle="1" w:styleId="131">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32">
    <w:name w:val="表"/>
    <w:basedOn w:val="1"/>
    <w:qFormat/>
    <w:uiPriority w:val="0"/>
    <w:pPr>
      <w:spacing w:line="360" w:lineRule="auto"/>
      <w:jc w:val="center"/>
    </w:pPr>
    <w:rPr>
      <w:rFonts w:ascii="Times New Roman" w:hAnsi="Times New Roman" w:eastAsia="宋体" w:cs="Times New Roman"/>
      <w:color w:val="000000"/>
      <w:szCs w:val="21"/>
    </w:rPr>
  </w:style>
  <w:style w:type="paragraph" w:customStyle="1" w:styleId="133">
    <w:name w:val="Char"/>
    <w:basedOn w:val="1"/>
    <w:qFormat/>
    <w:uiPriority w:val="0"/>
    <w:pPr>
      <w:spacing w:line="360" w:lineRule="auto"/>
    </w:pPr>
    <w:rPr>
      <w:rFonts w:ascii="黑体" w:hAnsi="黑体" w:eastAsia="宋体" w:cs="Times New Roman"/>
      <w:sz w:val="24"/>
      <w:szCs w:val="24"/>
      <w:lang w:val="zh-CN"/>
    </w:rPr>
  </w:style>
  <w:style w:type="paragraph" w:customStyle="1" w:styleId="13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0"/>
      <w:lang w:val="en-US" w:eastAsia="zh-CN" w:bidi="ar-SA"/>
    </w:rPr>
  </w:style>
  <w:style w:type="paragraph" w:customStyle="1" w:styleId="135">
    <w:name w:val="列出段落2"/>
    <w:basedOn w:val="1"/>
    <w:qFormat/>
    <w:uiPriority w:val="0"/>
    <w:pPr>
      <w:ind w:firstLine="420" w:firstLineChars="200"/>
    </w:pPr>
    <w:rPr>
      <w:rFonts w:ascii="Times New Roman" w:hAnsi="Times New Roman" w:eastAsia="宋体" w:cs="Times New Roman"/>
      <w:szCs w:val="20"/>
    </w:rPr>
  </w:style>
  <w:style w:type="paragraph" w:customStyle="1" w:styleId="136">
    <w:name w:val="!机场正文"/>
    <w:basedOn w:val="1"/>
    <w:qFormat/>
    <w:uiPriority w:val="0"/>
    <w:pPr>
      <w:spacing w:line="560" w:lineRule="exact"/>
      <w:ind w:firstLine="200" w:firstLineChars="200"/>
    </w:pPr>
    <w:rPr>
      <w:rFonts w:ascii="仿宋_GB2312" w:hAnsi="仿宋_GB2312" w:eastAsia="仿宋_GB2312" w:cs="Times New Roman"/>
      <w:sz w:val="32"/>
    </w:rPr>
  </w:style>
  <w:style w:type="paragraph" w:customStyle="1" w:styleId="137">
    <w:name w:val="Char Char"/>
    <w:basedOn w:val="1"/>
    <w:qFormat/>
    <w:uiPriority w:val="0"/>
    <w:rPr>
      <w:rFonts w:ascii="Tahoma" w:hAnsi="Tahoma" w:eastAsia="宋体" w:cs="Times New Roman"/>
      <w:sz w:val="24"/>
      <w:szCs w:val="20"/>
    </w:rPr>
  </w:style>
  <w:style w:type="paragraph" w:customStyle="1" w:styleId="138">
    <w:name w:val="表格一"/>
    <w:basedOn w:val="1"/>
    <w:qFormat/>
    <w:uiPriority w:val="0"/>
    <w:pPr>
      <w:spacing w:line="240" w:lineRule="exact"/>
      <w:ind w:left="105" w:leftChars="50"/>
    </w:pPr>
    <w:rPr>
      <w:rFonts w:ascii="Times New Roman" w:hAnsi="Times New Roman" w:eastAsia="宋体" w:cs="Times New Roman"/>
      <w:sz w:val="18"/>
      <w:szCs w:val="21"/>
    </w:rPr>
  </w:style>
  <w:style w:type="character" w:customStyle="1" w:styleId="139">
    <w:name w:val="标题 字符2"/>
    <w:uiPriority w:val="10"/>
    <w:rPr>
      <w:rFonts w:ascii="Calibri Light" w:hAnsi="Calibri Light" w:eastAsia="宋体" w:cs="Times New Roman"/>
      <w:b/>
      <w:bCs/>
      <w:kern w:val="2"/>
      <w:sz w:val="32"/>
      <w:szCs w:val="32"/>
      <w:lang w:val="en-US" w:eastAsia="zh-CN" w:bidi="ar-SA"/>
    </w:rPr>
  </w:style>
  <w:style w:type="character" w:customStyle="1" w:styleId="140">
    <w:name w:val="普通文字 Char Char"/>
    <w:qFormat/>
    <w:uiPriority w:val="0"/>
    <w:rPr>
      <w:rFonts w:ascii="宋体" w:hAnsi="Courier New" w:eastAsia="宋体" w:cs="Courier New"/>
      <w:kern w:val="2"/>
      <w:sz w:val="21"/>
      <w:szCs w:val="21"/>
      <w:lang w:val="en-US" w:eastAsia="zh-CN" w:bidi="ar-SA"/>
    </w:rPr>
  </w:style>
  <w:style w:type="character" w:customStyle="1" w:styleId="141">
    <w:name w:val="zbggmain style9"/>
    <w:qFormat/>
    <w:uiPriority w:val="0"/>
    <w:rPr>
      <w:rFonts w:ascii="Calibri" w:hAnsi="Calibri" w:eastAsia="宋体" w:cs="Times New Roman"/>
      <w:kern w:val="2"/>
      <w:sz w:val="21"/>
      <w:szCs w:val="22"/>
      <w:lang w:val="en-US" w:eastAsia="zh-CN" w:bidi="ar-SA"/>
    </w:rPr>
  </w:style>
  <w:style w:type="character" w:customStyle="1" w:styleId="142">
    <w:name w:val="正文文本 字符1"/>
    <w:qFormat/>
    <w:uiPriority w:val="0"/>
    <w:rPr>
      <w:rFonts w:ascii="Calibri" w:hAnsi="Calibri" w:eastAsia="宋体" w:cs="Times New Roman"/>
      <w:kern w:val="2"/>
      <w:sz w:val="21"/>
      <w:szCs w:val="22"/>
      <w:lang w:val="en-US" w:eastAsia="zh-CN" w:bidi="ar-SA"/>
    </w:rPr>
  </w:style>
  <w:style w:type="character" w:customStyle="1" w:styleId="143">
    <w:name w:val="正文文本缩进 字符1"/>
    <w:qFormat/>
    <w:uiPriority w:val="0"/>
    <w:rPr>
      <w:rFonts w:ascii="Calibri" w:hAnsi="Calibri" w:eastAsia="宋体" w:cs="Times New Roman"/>
      <w:kern w:val="2"/>
      <w:sz w:val="21"/>
      <w:szCs w:val="22"/>
      <w:lang w:val="en-US" w:eastAsia="zh-CN" w:bidi="ar-SA"/>
    </w:rPr>
  </w:style>
  <w:style w:type="character" w:customStyle="1" w:styleId="144">
    <w:name w:val="Char Char14"/>
    <w:qFormat/>
    <w:uiPriority w:val="0"/>
    <w:rPr>
      <w:rFonts w:ascii="宋体" w:hAnsi="Courier New" w:eastAsia="宋体" w:cs="Courier New"/>
      <w:kern w:val="2"/>
      <w:sz w:val="21"/>
      <w:szCs w:val="21"/>
      <w:lang w:val="en-US" w:eastAsia="zh-CN" w:bidi="ar-SA"/>
    </w:rPr>
  </w:style>
  <w:style w:type="character" w:customStyle="1" w:styleId="145">
    <w:name w:val="28磅 Char"/>
    <w:link w:val="146"/>
    <w:qFormat/>
    <w:uiPriority w:val="0"/>
    <w:rPr>
      <w:rFonts w:ascii="仿宋_GB2312" w:eastAsia="仿宋_GB2312" w:hAnsiTheme="minorHAnsi" w:cstheme="minorBidi"/>
      <w:kern w:val="2"/>
      <w:sz w:val="28"/>
      <w:szCs w:val="28"/>
      <w:lang w:val="en-US" w:eastAsia="zh-CN" w:bidi="ar-SA"/>
    </w:rPr>
  </w:style>
  <w:style w:type="paragraph" w:customStyle="1" w:styleId="146">
    <w:name w:val="28磅"/>
    <w:basedOn w:val="1"/>
    <w:link w:val="145"/>
    <w:qFormat/>
    <w:uiPriority w:val="0"/>
    <w:pPr>
      <w:spacing w:line="560" w:lineRule="exact"/>
      <w:ind w:firstLine="548" w:firstLineChars="200"/>
    </w:pPr>
    <w:rPr>
      <w:rFonts w:ascii="仿宋_GB2312" w:eastAsia="仿宋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5052</Words>
  <Characters>28801</Characters>
  <Lines>240</Lines>
  <Paragraphs>67</Paragraphs>
  <ScaleCrop>false</ScaleCrop>
  <LinksUpToDate>false</LinksUpToDate>
  <CharactersWithSpaces>33786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2019-09-04T12:24:00Z</dcterms:created>
  <dc:creator>H</dc:creator>
  <cp:lastModifiedBy>王伟</cp:lastModifiedBy>
  <dcterms:modified xsi:type="dcterms:W3CDTF">2021-11-19T00:26:06Z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