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360" w:lineRule="auto"/>
        <w:jc w:val="center"/>
        <w:textAlignment w:val="bottom"/>
        <w:rPr>
          <w:rFonts w:hint="eastAsia" w:ascii="黑体" w:hAnsi="黑体" w:eastAsia="黑体"/>
          <w:b/>
          <w:sz w:val="52"/>
          <w:szCs w:val="52"/>
          <w:highlight w:val="none"/>
        </w:rPr>
      </w:pPr>
    </w:p>
    <w:p>
      <w:pPr>
        <w:widowControl/>
        <w:autoSpaceDE w:val="0"/>
        <w:autoSpaceDN w:val="0"/>
        <w:spacing w:line="360" w:lineRule="auto"/>
        <w:jc w:val="center"/>
        <w:textAlignment w:val="bottom"/>
        <w:rPr>
          <w:rFonts w:hint="eastAsia" w:ascii="黑体" w:hAnsi="黑体" w:eastAsia="黑体"/>
          <w:b/>
          <w:sz w:val="52"/>
          <w:szCs w:val="52"/>
          <w:highlight w:val="none"/>
        </w:rPr>
      </w:pPr>
    </w:p>
    <w:p>
      <w:pPr>
        <w:widowControl/>
        <w:autoSpaceDE w:val="0"/>
        <w:autoSpaceDN w:val="0"/>
        <w:spacing w:line="360" w:lineRule="auto"/>
        <w:jc w:val="center"/>
        <w:textAlignment w:val="bottom"/>
        <w:rPr>
          <w:rFonts w:hint="eastAsia" w:ascii="黑体" w:hAnsi="黑体" w:eastAsia="黑体"/>
          <w:b/>
          <w:sz w:val="52"/>
          <w:szCs w:val="52"/>
          <w:highlight w:val="none"/>
        </w:rPr>
      </w:pPr>
    </w:p>
    <w:p>
      <w:pPr>
        <w:widowControl/>
        <w:autoSpaceDE w:val="0"/>
        <w:autoSpaceDN w:val="0"/>
        <w:spacing w:line="360" w:lineRule="auto"/>
        <w:jc w:val="center"/>
        <w:textAlignment w:val="bottom"/>
        <w:rPr>
          <w:rFonts w:ascii="黑体" w:hAnsi="黑体" w:eastAsia="黑体"/>
          <w:sz w:val="52"/>
          <w:szCs w:val="52"/>
          <w:highlight w:val="none"/>
        </w:rPr>
      </w:pPr>
      <w:r>
        <w:rPr>
          <w:rFonts w:hint="eastAsia" w:ascii="黑体" w:hAnsi="黑体" w:eastAsia="黑体"/>
          <w:b/>
          <w:sz w:val="52"/>
          <w:szCs w:val="52"/>
          <w:highlight w:val="none"/>
        </w:rPr>
        <w:t>杭州萧山国际机场</w:t>
      </w:r>
      <w:r>
        <w:rPr>
          <w:rFonts w:hint="eastAsia" w:ascii="黑体" w:hAnsi="黑体" w:eastAsia="黑体"/>
          <w:b/>
          <w:sz w:val="52"/>
          <w:szCs w:val="52"/>
          <w:highlight w:val="none"/>
          <w:lang w:eastAsia="zh-CN"/>
        </w:rPr>
        <w:t>T3航站楼值机岛开包间后端增加隔断项目</w:t>
      </w:r>
      <w:r>
        <w:rPr>
          <w:rFonts w:ascii="黑体" w:hAnsi="黑体" w:eastAsia="黑体"/>
          <w:b/>
          <w:sz w:val="52"/>
          <w:szCs w:val="52"/>
          <w:highlight w:val="none"/>
        </w:rPr>
        <w:t>招标文件</w:t>
      </w: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44"/>
          <w:szCs w:val="44"/>
          <w:highlight w:val="none"/>
        </w:rPr>
      </w:pPr>
    </w:p>
    <w:p>
      <w:pPr>
        <w:spacing w:line="560" w:lineRule="exact"/>
        <w:jc w:val="center"/>
        <w:rPr>
          <w:rFonts w:eastAsia="黑体" w:cs="Calibri"/>
          <w:sz w:val="32"/>
          <w:szCs w:val="32"/>
          <w:highlight w:val="none"/>
        </w:rPr>
      </w:pPr>
      <w:r>
        <w:rPr>
          <w:rFonts w:hint="eastAsia" w:eastAsia="黑体" w:cs="Calibri"/>
          <w:sz w:val="32"/>
          <w:szCs w:val="32"/>
          <w:highlight w:val="none"/>
        </w:rPr>
        <w:t>杭州萧山国际机场有限公司</w:t>
      </w:r>
    </w:p>
    <w:p>
      <w:pPr>
        <w:pStyle w:val="9"/>
        <w:spacing w:line="560" w:lineRule="exact"/>
        <w:jc w:val="center"/>
        <w:rPr>
          <w:rFonts w:ascii="Calibri" w:hAnsi="Calibri" w:eastAsia="楷体_GB2312" w:cs="Calibri"/>
          <w:sz w:val="24"/>
          <w:szCs w:val="24"/>
          <w:highlight w:val="none"/>
          <w:u w:val="single"/>
        </w:rPr>
      </w:pPr>
      <w:r>
        <w:rPr>
          <w:rFonts w:hint="eastAsia" w:ascii="Calibri" w:hAnsi="Calibri" w:eastAsia="黑体" w:cs="Calibri"/>
          <w:sz w:val="32"/>
          <w:szCs w:val="32"/>
          <w:highlight w:val="none"/>
        </w:rPr>
        <w:t>二</w:t>
      </w:r>
      <w:r>
        <w:rPr>
          <w:rFonts w:hint="eastAsia" w:ascii="黑体" w:hAnsi="黑体" w:eastAsia="黑体" w:cs="Calibri"/>
          <w:sz w:val="32"/>
          <w:szCs w:val="32"/>
          <w:highlight w:val="none"/>
        </w:rPr>
        <w:t>Ο</w:t>
      </w:r>
      <w:r>
        <w:rPr>
          <w:rFonts w:hint="eastAsia" w:ascii="Calibri" w:hAnsi="Calibri" w:eastAsia="黑体" w:cs="Calibri"/>
          <w:sz w:val="32"/>
          <w:szCs w:val="32"/>
          <w:highlight w:val="none"/>
        </w:rPr>
        <w:t>二</w:t>
      </w:r>
      <w:r>
        <w:rPr>
          <w:rFonts w:hint="eastAsia" w:ascii="Calibri" w:hAnsi="Calibri" w:eastAsia="黑体" w:cs="Calibri"/>
          <w:sz w:val="32"/>
          <w:szCs w:val="32"/>
          <w:highlight w:val="none"/>
          <w:lang w:val="en-US" w:eastAsia="zh-CN"/>
        </w:rPr>
        <w:t>四</w:t>
      </w:r>
      <w:r>
        <w:rPr>
          <w:rFonts w:hint="eastAsia" w:ascii="Calibri" w:hAnsi="Calibri" w:eastAsia="黑体" w:cs="Calibri"/>
          <w:sz w:val="32"/>
          <w:szCs w:val="32"/>
          <w:highlight w:val="none"/>
        </w:rPr>
        <w:t>年</w:t>
      </w:r>
      <w:r>
        <w:rPr>
          <w:rFonts w:hint="eastAsia" w:ascii="Calibri" w:hAnsi="Calibri" w:eastAsia="黑体" w:cs="Calibri"/>
          <w:sz w:val="32"/>
          <w:szCs w:val="32"/>
          <w:highlight w:val="none"/>
          <w:u w:val="single"/>
        </w:rPr>
        <w:t xml:space="preserve"> </w:t>
      </w:r>
      <w:r>
        <w:rPr>
          <w:rFonts w:hint="eastAsia" w:ascii="Calibri" w:hAnsi="Calibri" w:eastAsia="黑体" w:cs="Calibri"/>
          <w:sz w:val="32"/>
          <w:szCs w:val="32"/>
          <w:highlight w:val="none"/>
          <w:u w:val="single"/>
          <w:lang w:val="en-US" w:eastAsia="zh-CN"/>
        </w:rPr>
        <w:t>一</w:t>
      </w:r>
      <w:r>
        <w:rPr>
          <w:rFonts w:hint="eastAsia" w:ascii="Calibri" w:hAnsi="Calibri" w:eastAsia="黑体" w:cs="Calibri"/>
          <w:sz w:val="32"/>
          <w:szCs w:val="32"/>
          <w:highlight w:val="none"/>
          <w:u w:val="single"/>
        </w:rPr>
        <w:t xml:space="preserve"> </w:t>
      </w:r>
      <w:r>
        <w:rPr>
          <w:rFonts w:ascii="Calibri" w:hAnsi="Calibri" w:eastAsia="黑体" w:cs="Calibri"/>
          <w:sz w:val="32"/>
          <w:szCs w:val="32"/>
          <w:highlight w:val="none"/>
        </w:rPr>
        <w:t>月</w:t>
      </w:r>
    </w:p>
    <w:p>
      <w:pPr>
        <w:snapToGrid w:val="0"/>
        <w:spacing w:line="560" w:lineRule="exact"/>
        <w:jc w:val="center"/>
        <w:rPr>
          <w:rFonts w:ascii="宋体" w:hAnsi="宋体"/>
          <w:b/>
          <w:bCs/>
          <w:sz w:val="32"/>
          <w:szCs w:val="32"/>
          <w:highlight w:val="none"/>
        </w:rPr>
      </w:pPr>
    </w:p>
    <w:p>
      <w:pPr>
        <w:spacing w:line="560" w:lineRule="exact"/>
        <w:jc w:val="center"/>
        <w:rPr>
          <w:b/>
          <w:highlight w:val="none"/>
        </w:rPr>
      </w:pPr>
    </w:p>
    <w:p>
      <w:pPr>
        <w:spacing w:line="560" w:lineRule="exact"/>
        <w:jc w:val="center"/>
        <w:rPr>
          <w:b/>
          <w:bCs/>
          <w:sz w:val="44"/>
          <w:szCs w:val="44"/>
          <w:highlight w:val="none"/>
        </w:rPr>
        <w:sectPr>
          <w:headerReference r:id="rId3" w:type="default"/>
          <w:footerReference r:id="rId4" w:type="default"/>
          <w:footerReference r:id="rId5" w:type="even"/>
          <w:pgSz w:w="11907" w:h="16840"/>
          <w:pgMar w:top="1440" w:right="1080" w:bottom="1440" w:left="1080" w:header="567" w:footer="567" w:gutter="0"/>
          <w:pgNumType w:fmt="decimal"/>
          <w:cols w:space="720" w:num="1"/>
        </w:sectPr>
      </w:pPr>
    </w:p>
    <w:sdt>
      <w:sdtPr>
        <w:rPr>
          <w:rFonts w:ascii="宋体" w:hAnsi="宋体" w:eastAsia="宋体"/>
          <w:highlight w:val="none"/>
        </w:rPr>
        <w:id w:val="147480402"/>
        <w15:color w:val="DBDBDB"/>
      </w:sdtPr>
      <w:sdtEndPr>
        <w:rPr>
          <w:rFonts w:asciiTheme="minorHAnsi" w:hAnsiTheme="minorHAnsi" w:eastAsiaTheme="minorEastAsia"/>
          <w:bCs/>
          <w:szCs w:val="44"/>
          <w:highlight w:val="none"/>
        </w:rPr>
      </w:sdtEndPr>
      <w:sdtContent>
        <w:p>
          <w:pPr>
            <w:spacing w:line="560" w:lineRule="exact"/>
            <w:jc w:val="center"/>
            <w:rPr>
              <w:rFonts w:ascii="仿宋_GB2312" w:hAnsi="仿宋_GB2312" w:eastAsia="仿宋_GB2312" w:cs="仿宋_GB2312"/>
              <w:sz w:val="36"/>
              <w:szCs w:val="40"/>
              <w:highlight w:val="none"/>
            </w:rPr>
          </w:pPr>
          <w:r>
            <w:rPr>
              <w:rFonts w:hint="eastAsia" w:ascii="仿宋_GB2312" w:hAnsi="仿宋_GB2312" w:eastAsia="仿宋_GB2312" w:cs="仿宋_GB2312"/>
              <w:b/>
              <w:bCs/>
              <w:sz w:val="44"/>
              <w:szCs w:val="44"/>
              <w:highlight w:val="none"/>
            </w:rPr>
            <w:t>目录</w:t>
          </w:r>
        </w:p>
        <w:p>
          <w:pPr>
            <w:pStyle w:val="12"/>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TOC \o "1-3" \h \u </w:instrText>
          </w:r>
          <w:r>
            <w:rPr>
              <w:rFonts w:hint="eastAsia" w:ascii="仿宋_GB2312" w:hAnsi="仿宋_GB2312" w:eastAsia="仿宋_GB2312" w:cs="仿宋_GB2312"/>
              <w:b/>
              <w:bCs/>
              <w:sz w:val="28"/>
              <w:szCs w:val="28"/>
              <w:highlight w:val="none"/>
            </w:rPr>
            <w:fldChar w:fldCharType="separate"/>
          </w: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\l _Toc5714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highlight w:val="none"/>
              <w:lang w:val="en-US" w:eastAsia="zh-CN" w:bidi="ar-SA"/>
            </w:rPr>
            <w:t>第一章 招标公告</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PAGEREF _Toc5714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bCs/>
              <w:kern w:val="2"/>
              <w:sz w:val="28"/>
              <w:szCs w:val="28"/>
              <w:highlight w:val="none"/>
              <w:lang w:val="en-US" w:eastAsia="zh-CN" w:bidi="ar-SA"/>
            </w:rPr>
            <w:fldChar w:fldCharType="end"/>
          </w:r>
        </w:p>
        <w:p>
          <w:pPr>
            <w:pStyle w:val="12"/>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\l _Toc28761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highlight w:val="none"/>
              <w:lang w:val="en-US" w:eastAsia="zh-CN" w:bidi="ar-SA"/>
            </w:rPr>
            <w:t>第二章 评标办法</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PAGEREF _Toc28761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bCs/>
              <w:kern w:val="2"/>
              <w:sz w:val="28"/>
              <w:szCs w:val="28"/>
              <w:highlight w:val="none"/>
              <w:lang w:val="en-US" w:eastAsia="zh-CN" w:bidi="ar-SA"/>
            </w:rPr>
            <w:fldChar w:fldCharType="end"/>
          </w:r>
        </w:p>
        <w:p>
          <w:pPr>
            <w:pStyle w:val="12"/>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\l _Toc20910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lang w:val="en-US" w:eastAsia="zh-CN" w:bidi="ar-SA"/>
            </w:rPr>
            <w:t>第三章 合同条款及格式</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PAGEREF _Toc20910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10</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bCs/>
              <w:kern w:val="2"/>
              <w:sz w:val="28"/>
              <w:szCs w:val="28"/>
              <w:highlight w:val="none"/>
              <w:lang w:val="en-US" w:eastAsia="zh-CN" w:bidi="ar-SA"/>
            </w:rPr>
            <w:fldChar w:fldCharType="end"/>
          </w:r>
        </w:p>
        <w:p>
          <w:pPr>
            <w:pStyle w:val="12"/>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\l _Toc21282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lang w:val="en-US" w:eastAsia="zh-CN" w:bidi="ar-SA"/>
            </w:rPr>
            <w:t>第四章 工程量清单</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PAGEREF _Toc21282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55</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bCs/>
              <w:kern w:val="2"/>
              <w:sz w:val="28"/>
              <w:szCs w:val="28"/>
              <w:highlight w:val="none"/>
              <w:lang w:val="en-US" w:eastAsia="zh-CN" w:bidi="ar-SA"/>
            </w:rPr>
            <w:fldChar w:fldCharType="end"/>
          </w:r>
        </w:p>
        <w:p>
          <w:pPr>
            <w:pStyle w:val="12"/>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\l _Toc17241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lang w:val="en-US" w:eastAsia="zh-CN" w:bidi="ar-SA"/>
            </w:rPr>
            <w:t>第五章 图纸</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PAGEREF _Toc17241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56</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bCs/>
              <w:kern w:val="2"/>
              <w:sz w:val="28"/>
              <w:szCs w:val="28"/>
              <w:highlight w:val="none"/>
              <w:lang w:val="en-US" w:eastAsia="zh-CN" w:bidi="ar-SA"/>
            </w:rPr>
            <w:fldChar w:fldCharType="end"/>
          </w:r>
        </w:p>
        <w:p>
          <w:pPr>
            <w:pStyle w:val="12"/>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\l _Toc9774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lang w:val="en-US" w:eastAsia="zh-CN" w:bidi="ar-SA"/>
            </w:rPr>
            <w:t>第六章 技术标准及要求</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PAGEREF _Toc9774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57</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bCs/>
              <w:kern w:val="2"/>
              <w:sz w:val="28"/>
              <w:szCs w:val="28"/>
              <w:highlight w:val="none"/>
              <w:lang w:val="en-US" w:eastAsia="zh-CN" w:bidi="ar-SA"/>
            </w:rPr>
            <w:fldChar w:fldCharType="end"/>
          </w:r>
        </w:p>
        <w:p>
          <w:pPr>
            <w:pStyle w:val="12"/>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\l _Toc28597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lang w:val="en-US" w:eastAsia="zh-CN" w:bidi="ar-SA"/>
            </w:rPr>
            <w:t>第七章 投标文件格式</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PAGEREF _Toc28597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64</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bCs/>
              <w:kern w:val="2"/>
              <w:sz w:val="28"/>
              <w:szCs w:val="28"/>
              <w:highlight w:val="none"/>
              <w:lang w:val="en-US" w:eastAsia="zh-CN" w:bidi="ar-SA"/>
            </w:rPr>
            <w:fldChar w:fldCharType="end"/>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asciiTheme="minorHAnsi" w:hAnsiTheme="minorHAnsi" w:eastAsiaTheme="minorEastAsia"/>
              <w:bCs/>
              <w:szCs w:val="44"/>
              <w:highlight w:val="none"/>
            </w:rPr>
          </w:pPr>
          <w:r>
            <w:rPr>
              <w:rFonts w:hint="eastAsia" w:ascii="仿宋_GB2312" w:hAnsi="仿宋_GB2312" w:eastAsia="仿宋_GB2312" w:cs="仿宋_GB2312"/>
              <w:bCs/>
              <w:kern w:val="2"/>
              <w:sz w:val="28"/>
              <w:szCs w:val="28"/>
              <w:highlight w:val="none"/>
              <w:lang w:val="en-US" w:eastAsia="zh-CN" w:bidi="ar-SA"/>
            </w:rPr>
            <w:fldChar w:fldCharType="end"/>
          </w:r>
        </w:p>
      </w:sdtContent>
    </w:sdt>
    <w:p>
      <w:pPr>
        <w:pStyle w:val="13"/>
        <w:pageBreakBefore/>
        <w:spacing w:before="0" w:after="0" w:line="560" w:lineRule="exact"/>
        <w:rPr>
          <w:rFonts w:hint="eastAsia"/>
          <w:highlight w:val="none"/>
        </w:rPr>
        <w:sectPr>
          <w:footerReference r:id="rId6" w:type="default"/>
          <w:pgSz w:w="11907" w:h="16840"/>
          <w:pgMar w:top="1134" w:right="1134" w:bottom="1134" w:left="1134" w:header="851" w:footer="992" w:gutter="0"/>
          <w:pgNumType w:fmt="decimal"/>
          <w:cols w:space="720" w:num="1"/>
          <w:docGrid w:linePitch="312" w:charSpace="0"/>
        </w:sectPr>
      </w:pPr>
      <w:bookmarkStart w:id="0" w:name="_Toc5714"/>
    </w:p>
    <w:p>
      <w:pPr>
        <w:pStyle w:val="13"/>
        <w:pageBreakBefore/>
        <w:spacing w:before="0" w:after="0" w:line="560" w:lineRule="exact"/>
        <w:rPr>
          <w:highlight w:val="none"/>
        </w:rPr>
      </w:pPr>
      <w:r>
        <w:rPr>
          <w:rFonts w:hint="eastAsia"/>
          <w:highlight w:val="none"/>
        </w:rPr>
        <w:t>第一章 招标公告</w:t>
      </w:r>
      <w:bookmarkEnd w:id="0"/>
    </w:p>
    <w:p>
      <w:pPr>
        <w:keepNext w:val="0"/>
        <w:keepLines w:val="0"/>
        <w:pageBreakBefore w:val="0"/>
        <w:widowControl/>
        <w:kinsoku/>
        <w:overflowPunct/>
        <w:topLinePunct w:val="0"/>
        <w:bidi w:val="0"/>
        <w:snapToGrid w:val="0"/>
        <w:spacing w:line="560" w:lineRule="exact"/>
        <w:ind w:right="0" w:rightChars="0" w:firstLine="562" w:firstLineChars="200"/>
        <w:jc w:val="left"/>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一、招标内容</w:t>
      </w:r>
    </w:p>
    <w:p>
      <w:pPr>
        <w:keepNext w:val="0"/>
        <w:keepLines w:val="0"/>
        <w:pageBreakBefore w:val="0"/>
        <w:widowControl/>
        <w:numPr>
          <w:ilvl w:val="0"/>
          <w:numId w:val="1"/>
        </w:numPr>
        <w:kinsoku/>
        <w:overflowPunct/>
        <w:topLinePunct w:val="0"/>
        <w:bidi w:val="0"/>
        <w:adjustRightInd w:val="0"/>
        <w:snapToGrid w:val="0"/>
        <w:spacing w:line="560" w:lineRule="exact"/>
        <w:ind w:right="0" w:rightChars="0" w:firstLine="562" w:firstLineChars="200"/>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项目概况：</w:t>
      </w:r>
      <w:r>
        <w:rPr>
          <w:rFonts w:hint="eastAsia" w:ascii="仿宋_GB2312" w:hAnsi="仿宋_GB2312" w:eastAsia="仿宋_GB2312" w:cs="仿宋_GB2312"/>
          <w:b/>
          <w:bCs/>
          <w:kern w:val="0"/>
          <w:sz w:val="28"/>
          <w:szCs w:val="28"/>
          <w:highlight w:val="none"/>
          <w:lang w:val="en-US" w:eastAsia="zh-CN"/>
        </w:rPr>
        <w:t>增加T3航站楼值机岛开包间后端隔断</w:t>
      </w:r>
      <w:r>
        <w:rPr>
          <w:rFonts w:hint="eastAsia" w:ascii="仿宋_GB2312" w:hAnsi="仿宋_GB2312" w:eastAsia="仿宋_GB2312" w:cs="仿宋_GB2312"/>
          <w:b/>
          <w:bCs/>
          <w:kern w:val="0"/>
          <w:sz w:val="28"/>
          <w:szCs w:val="28"/>
          <w:highlight w:val="none"/>
        </w:rPr>
        <w:t>。</w:t>
      </w:r>
    </w:p>
    <w:p>
      <w:pPr>
        <w:keepNext w:val="0"/>
        <w:keepLines w:val="0"/>
        <w:pageBreakBefore w:val="0"/>
        <w:widowControl/>
        <w:numPr>
          <w:ilvl w:val="0"/>
          <w:numId w:val="1"/>
        </w:numPr>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实施内容：详见工程量清单</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图纸</w:t>
      </w:r>
      <w:r>
        <w:rPr>
          <w:rFonts w:hint="eastAsia" w:ascii="仿宋_GB2312" w:hAnsi="仿宋_GB2312" w:eastAsia="仿宋_GB2312" w:cs="仿宋_GB2312"/>
          <w:kern w:val="0"/>
          <w:sz w:val="28"/>
          <w:szCs w:val="28"/>
          <w:highlight w:val="none"/>
        </w:rPr>
        <w:t>和技术标准及要求。</w:t>
      </w:r>
    </w:p>
    <w:p>
      <w:pPr>
        <w:keepNext w:val="0"/>
        <w:keepLines w:val="0"/>
        <w:pageBreakBefore w:val="0"/>
        <w:widowControl/>
        <w:numPr>
          <w:ilvl w:val="0"/>
          <w:numId w:val="1"/>
        </w:numPr>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本项目设一个标段，要求甲方通知进场后</w:t>
      </w:r>
      <w:r>
        <w:rPr>
          <w:rFonts w:hint="eastAsia" w:ascii="仿宋_GB2312" w:hAnsi="仿宋_GB2312" w:eastAsia="仿宋_GB2312" w:cs="仿宋_GB2312"/>
          <w:kern w:val="0"/>
          <w:sz w:val="28"/>
          <w:szCs w:val="28"/>
          <w:highlight w:val="none"/>
          <w:lang w:val="en-US" w:eastAsia="zh-CN"/>
        </w:rPr>
        <w:t>7</w:t>
      </w:r>
      <w:r>
        <w:rPr>
          <w:rFonts w:hint="eastAsia" w:ascii="仿宋_GB2312" w:hAnsi="仿宋_GB2312" w:eastAsia="仿宋_GB2312" w:cs="仿宋_GB2312"/>
          <w:kern w:val="0"/>
          <w:sz w:val="28"/>
          <w:szCs w:val="28"/>
          <w:highlight w:val="none"/>
        </w:rPr>
        <w:t>日历天内完工。</w:t>
      </w:r>
    </w:p>
    <w:p>
      <w:pPr>
        <w:keepNext w:val="0"/>
        <w:keepLines w:val="0"/>
        <w:pageBreakBefore w:val="0"/>
        <w:widowControl/>
        <w:kinsoku/>
        <w:overflowPunct/>
        <w:topLinePunct w:val="0"/>
        <w:bidi w:val="0"/>
        <w:snapToGrid w:val="0"/>
        <w:spacing w:line="560" w:lineRule="exact"/>
        <w:ind w:right="0" w:rightChars="0" w:firstLine="562" w:firstLineChars="200"/>
        <w:jc w:val="left"/>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二、资格要求 </w:t>
      </w:r>
    </w:p>
    <w:p>
      <w:pPr>
        <w:keepNext w:val="0"/>
        <w:keepLines w:val="0"/>
        <w:pageBreakBefore w:val="0"/>
        <w:widowControl/>
        <w:numPr>
          <w:ilvl w:val="0"/>
          <w:numId w:val="2"/>
        </w:numPr>
        <w:kinsoku/>
        <w:overflowPunct/>
        <w:topLinePunct w:val="0"/>
        <w:bidi w:val="0"/>
        <w:adjustRightInd w:val="0"/>
        <w:snapToGrid w:val="0"/>
        <w:spacing w:line="560" w:lineRule="exact"/>
        <w:ind w:left="70" w:leftChars="0" w:right="0" w:rightChars="0" w:firstLine="562" w:firstLineChars="200"/>
        <w:textAlignment w:val="auto"/>
        <w:outlineLvl w:val="9"/>
        <w:rPr>
          <w:rFonts w:ascii="仿宋_GB2312" w:hAnsi="仿宋_GB2312" w:eastAsia="仿宋_GB2312" w:cs="仿宋_GB2312"/>
          <w:b/>
          <w:bCs/>
          <w:sz w:val="28"/>
          <w:szCs w:val="28"/>
          <w:highlight w:val="none"/>
        </w:rPr>
      </w:pPr>
      <w:r>
        <w:rPr>
          <w:rFonts w:hint="eastAsia" w:ascii="仿宋_GB2312" w:hAnsi="仿宋_GB2312" w:eastAsia="仿宋_GB2312" w:cs="仿宋_GB2312"/>
          <w:b/>
          <w:bCs/>
          <w:kern w:val="0"/>
          <w:sz w:val="28"/>
          <w:szCs w:val="28"/>
          <w:highlight w:val="none"/>
        </w:rPr>
        <w:t>投标人具备</w:t>
      </w:r>
      <w:r>
        <w:rPr>
          <w:rFonts w:hint="eastAsia" w:ascii="仿宋_GB2312" w:hAnsi="仿宋_GB2312" w:eastAsia="仿宋_GB2312" w:cs="仿宋_GB2312"/>
          <w:b/>
          <w:bCs/>
          <w:kern w:val="0"/>
          <w:sz w:val="28"/>
          <w:szCs w:val="28"/>
          <w:highlight w:val="none"/>
          <w:u w:val="single"/>
        </w:rPr>
        <w:t>建筑工程施工总承包三级</w:t>
      </w:r>
      <w:r>
        <w:rPr>
          <w:rFonts w:hint="eastAsia" w:ascii="仿宋_GB2312" w:hAnsi="仿宋_GB2312" w:eastAsia="仿宋_GB2312" w:cs="仿宋_GB2312"/>
          <w:b/>
          <w:bCs/>
          <w:kern w:val="0"/>
          <w:sz w:val="28"/>
          <w:szCs w:val="28"/>
          <w:highlight w:val="none"/>
        </w:rPr>
        <w:t>或</w:t>
      </w:r>
      <w:r>
        <w:rPr>
          <w:rFonts w:hint="eastAsia" w:ascii="仿宋_GB2312" w:hAnsi="仿宋_GB2312" w:eastAsia="仿宋_GB2312" w:cs="仿宋_GB2312"/>
          <w:b/>
          <w:bCs/>
          <w:kern w:val="0"/>
          <w:sz w:val="28"/>
          <w:szCs w:val="28"/>
          <w:highlight w:val="none"/>
          <w:u w:val="single"/>
        </w:rPr>
        <w:t>建筑</w:t>
      </w:r>
      <w:r>
        <w:rPr>
          <w:rFonts w:hint="eastAsia" w:ascii="仿宋_GB2312" w:hAnsi="仿宋_GB2312" w:eastAsia="仿宋_GB2312" w:cs="仿宋_GB2312"/>
          <w:b/>
          <w:bCs/>
          <w:kern w:val="0"/>
          <w:sz w:val="28"/>
          <w:szCs w:val="28"/>
          <w:highlight w:val="none"/>
          <w:u w:val="single"/>
          <w:lang w:val="en-US" w:eastAsia="zh-CN"/>
        </w:rPr>
        <w:t>装修装饰工程专业承包二级</w:t>
      </w:r>
      <w:r>
        <w:rPr>
          <w:rFonts w:hint="eastAsia" w:ascii="仿宋_GB2312" w:hAnsi="仿宋_GB2312" w:eastAsia="仿宋_GB2312" w:cs="仿宋_GB2312"/>
          <w:b/>
          <w:bCs/>
          <w:kern w:val="0"/>
          <w:sz w:val="28"/>
          <w:szCs w:val="28"/>
          <w:highlight w:val="none"/>
        </w:rPr>
        <w:t>及以上资质。</w:t>
      </w:r>
    </w:p>
    <w:p>
      <w:pPr>
        <w:keepNext w:val="0"/>
        <w:keepLines w:val="0"/>
        <w:pageBreakBefore w:val="0"/>
        <w:widowControl/>
        <w:numPr>
          <w:ilvl w:val="0"/>
          <w:numId w:val="2"/>
        </w:numPr>
        <w:kinsoku/>
        <w:overflowPunct/>
        <w:topLinePunct w:val="0"/>
        <w:bidi w:val="0"/>
        <w:adjustRightInd w:val="0"/>
        <w:snapToGrid w:val="0"/>
        <w:spacing w:line="560" w:lineRule="exact"/>
        <w:ind w:left="70" w:leftChars="0" w:right="0" w:rightChars="0" w:firstLine="562" w:firstLineChars="200"/>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投标人应具有有效的《安全生产许可证》。</w:t>
      </w:r>
    </w:p>
    <w:p>
      <w:pPr>
        <w:keepNext w:val="0"/>
        <w:keepLines w:val="0"/>
        <w:pageBreakBefore w:val="0"/>
        <w:widowControl/>
        <w:numPr>
          <w:ilvl w:val="0"/>
          <w:numId w:val="2"/>
        </w:numPr>
        <w:kinsoku/>
        <w:overflowPunct/>
        <w:topLinePunct w:val="0"/>
        <w:bidi w:val="0"/>
        <w:adjustRightInd w:val="0"/>
        <w:snapToGrid w:val="0"/>
        <w:spacing w:line="560" w:lineRule="exact"/>
        <w:ind w:left="70" w:leftChars="0" w:right="0" w:rightChars="0" w:firstLine="562" w:firstLineChars="200"/>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项目经理资格要求：具有</w:t>
      </w:r>
      <w:r>
        <w:rPr>
          <w:rFonts w:hint="eastAsia" w:ascii="仿宋_GB2312" w:hAnsi="仿宋_GB2312" w:eastAsia="仿宋_GB2312" w:cs="仿宋_GB2312"/>
          <w:b/>
          <w:bCs/>
          <w:kern w:val="0"/>
          <w:sz w:val="28"/>
          <w:szCs w:val="28"/>
          <w:highlight w:val="none"/>
          <w:u w:val="single"/>
          <w:lang w:val="en-US" w:eastAsia="zh-CN"/>
        </w:rPr>
        <w:t>建筑专业</w:t>
      </w:r>
      <w:r>
        <w:rPr>
          <w:rFonts w:hint="eastAsia" w:ascii="仿宋_GB2312" w:hAnsi="仿宋_GB2312" w:eastAsia="仿宋_GB2312" w:cs="仿宋_GB2312"/>
          <w:b/>
          <w:bCs/>
          <w:kern w:val="0"/>
          <w:sz w:val="28"/>
          <w:szCs w:val="28"/>
          <w:highlight w:val="none"/>
        </w:rPr>
        <w:t>二级及以上注册建造师执业证书。</w:t>
      </w:r>
    </w:p>
    <w:p>
      <w:pPr>
        <w:keepNext w:val="0"/>
        <w:keepLines w:val="0"/>
        <w:pageBreakBefore w:val="0"/>
        <w:widowControl/>
        <w:numPr>
          <w:ilvl w:val="0"/>
          <w:numId w:val="2"/>
        </w:numPr>
        <w:kinsoku/>
        <w:overflowPunct/>
        <w:topLinePunct w:val="0"/>
        <w:bidi w:val="0"/>
        <w:adjustRightInd w:val="0"/>
        <w:snapToGrid w:val="0"/>
        <w:spacing w:line="560" w:lineRule="exact"/>
        <w:ind w:left="70" w:leftChars="0" w:right="0" w:rightChars="0" w:firstLine="562" w:firstLineChars="200"/>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本项目不接受联合体投标。</w:t>
      </w:r>
    </w:p>
    <w:p>
      <w:pPr>
        <w:keepNext w:val="0"/>
        <w:keepLines w:val="0"/>
        <w:pageBreakBefore w:val="0"/>
        <w:widowControl/>
        <w:kinsoku/>
        <w:overflowPunct/>
        <w:topLinePunct w:val="0"/>
        <w:bidi w:val="0"/>
        <w:snapToGrid w:val="0"/>
        <w:spacing w:line="560" w:lineRule="exact"/>
        <w:ind w:right="0" w:rightChars="0" w:firstLine="562" w:firstLineChars="200"/>
        <w:jc w:val="left"/>
        <w:textAlignment w:val="auto"/>
        <w:outlineLvl w:val="9"/>
        <w:rPr>
          <w:rFonts w:ascii="仿宋_GB2312" w:hAnsi="仿宋_GB2312" w:eastAsia="仿宋_GB2312" w:cs="仿宋_GB2312"/>
          <w:b/>
          <w:bCs/>
          <w:kern w:val="0"/>
          <w:sz w:val="28"/>
          <w:szCs w:val="28"/>
          <w:highlight w:val="none"/>
        </w:rPr>
      </w:pPr>
      <w:bookmarkStart w:id="1" w:name="_Toc448097403"/>
      <w:bookmarkStart w:id="2" w:name="_Toc448097402"/>
      <w:r>
        <w:rPr>
          <w:rFonts w:hint="eastAsia" w:ascii="仿宋_GB2312" w:hAnsi="仿宋_GB2312" w:eastAsia="仿宋_GB2312" w:cs="仿宋_GB2312"/>
          <w:b/>
          <w:bCs/>
          <w:kern w:val="0"/>
          <w:sz w:val="28"/>
          <w:szCs w:val="28"/>
          <w:highlight w:val="none"/>
        </w:rPr>
        <w:t>三、招标文件获取</w:t>
      </w:r>
    </w:p>
    <w:p>
      <w:pPr>
        <w:keepNext w:val="0"/>
        <w:keepLines w:val="0"/>
        <w:pageBreakBefore w:val="0"/>
        <w:kinsoku/>
        <w:overflowPunct/>
        <w:topLinePunct w:val="0"/>
        <w:bidi w:val="0"/>
        <w:snapToGrid w:val="0"/>
        <w:spacing w:line="560" w:lineRule="exact"/>
        <w:ind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凡符合资格条件并有投标意向的潜在投标人，请通过杭州萧山国际机场有限公司主页</w:t>
      </w:r>
      <w:r>
        <w:rPr>
          <w:rFonts w:ascii="仿宋_GB2312" w:hAnsi="仿宋_GB2312" w:eastAsia="仿宋_GB2312" w:cs="仿宋_GB2312"/>
          <w:sz w:val="28"/>
          <w:szCs w:val="28"/>
          <w:highlight w:val="none"/>
        </w:rPr>
        <w:t>http://www.hzairport.com/tender/index.html</w:t>
      </w:r>
      <w:r>
        <w:rPr>
          <w:rFonts w:hint="eastAsia" w:ascii="仿宋_GB2312" w:hAnsi="仿宋_GB2312" w:eastAsia="仿宋_GB2312" w:cs="仿宋_GB2312"/>
          <w:kern w:val="0"/>
          <w:sz w:val="28"/>
          <w:szCs w:val="28"/>
          <w:highlight w:val="none"/>
        </w:rPr>
        <w:t>自行下载招标文件</w:t>
      </w:r>
      <w:r>
        <w:rPr>
          <w:rFonts w:hint="eastAsia" w:ascii="仿宋_GB2312" w:hAnsi="仿宋_GB2312" w:eastAsia="仿宋_GB2312" w:cs="仿宋_GB2312"/>
          <w:sz w:val="28"/>
          <w:szCs w:val="28"/>
          <w:highlight w:val="none"/>
        </w:rPr>
        <w:t>。</w:t>
      </w:r>
    </w:p>
    <w:p>
      <w:pPr>
        <w:keepNext w:val="0"/>
        <w:keepLines w:val="0"/>
        <w:pageBreakBefore w:val="0"/>
        <w:kinsoku/>
        <w:overflowPunct/>
        <w:topLinePunct w:val="0"/>
        <w:bidi w:val="0"/>
        <w:snapToGrid w:val="0"/>
        <w:spacing w:line="560" w:lineRule="exact"/>
        <w:ind w:right="0" w:rightChars="0" w:firstLine="562" w:firstLineChars="200"/>
        <w:textAlignment w:val="auto"/>
        <w:outlineLvl w:val="9"/>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四、踏勘现场</w:t>
      </w:r>
    </w:p>
    <w:p>
      <w:pPr>
        <w:keepNext w:val="0"/>
        <w:keepLines w:val="0"/>
        <w:pageBreakBefore w:val="0"/>
        <w:kinsoku/>
        <w:overflowPunct/>
        <w:topLinePunct w:val="0"/>
        <w:bidi w:val="0"/>
        <w:snapToGrid w:val="0"/>
        <w:spacing w:line="560" w:lineRule="exact"/>
        <w:ind w:right="0" w:rightChars="0" w:firstLine="560" w:firstLineChars="200"/>
        <w:textAlignment w:val="auto"/>
        <w:outlineLvl w:val="9"/>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sz w:val="28"/>
          <w:szCs w:val="28"/>
          <w:highlight w:val="none"/>
        </w:rPr>
        <w:t>招标人组织踏勘现场，集</w:t>
      </w:r>
      <w:r>
        <w:rPr>
          <w:rFonts w:hint="eastAsia" w:ascii="仿宋_GB2312" w:hAnsi="仿宋_GB2312" w:eastAsia="仿宋_GB2312" w:cs="仿宋_GB2312"/>
          <w:color w:val="auto"/>
          <w:sz w:val="28"/>
          <w:szCs w:val="28"/>
          <w:highlight w:val="none"/>
        </w:rPr>
        <w:t>中踏勘时间为</w:t>
      </w:r>
      <w:r>
        <w:rPr>
          <w:rFonts w:hint="eastAsia" w:ascii="仿宋_GB2312" w:hAnsi="仿宋_GB2312" w:eastAsia="仿宋_GB2312" w:cs="仿宋_GB2312"/>
          <w:color w:val="auto"/>
          <w:kern w:val="0"/>
          <w:sz w:val="28"/>
          <w:szCs w:val="28"/>
          <w:highlight w:val="none"/>
          <w:lang w:val="en-US" w:eastAsia="zh-CN"/>
        </w:rPr>
        <w:t>2024</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18</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分（北京时间）。踏勘集中地点为</w:t>
      </w:r>
      <w:r>
        <w:rPr>
          <w:rFonts w:hint="eastAsia" w:ascii="仿宋_GB2312" w:hAnsi="仿宋_GB2312" w:eastAsia="仿宋_GB2312" w:cs="仿宋_GB2312"/>
          <w:b/>
          <w:bCs/>
          <w:color w:val="auto"/>
          <w:kern w:val="0"/>
          <w:sz w:val="28"/>
          <w:szCs w:val="28"/>
          <w:highlight w:val="none"/>
        </w:rPr>
        <w:t>杭州萧山国际机场物业维修中心</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b/>
          <w:bCs/>
          <w:color w:val="auto"/>
          <w:kern w:val="0"/>
          <w:sz w:val="28"/>
          <w:szCs w:val="28"/>
          <w:highlight w:val="none"/>
        </w:rPr>
        <w:t>由于未参加现场踏勘引起的报价失误等责任由投标人自负。</w:t>
      </w:r>
    </w:p>
    <w:p>
      <w:pPr>
        <w:keepNext w:val="0"/>
        <w:keepLines w:val="0"/>
        <w:pageBreakBefore w:val="0"/>
        <w:kinsoku/>
        <w:overflowPunct/>
        <w:topLinePunct w:val="0"/>
        <w:bidi w:val="0"/>
        <w:snapToGrid w:val="0"/>
        <w:spacing w:line="560" w:lineRule="exact"/>
        <w:ind w:right="0" w:rightChars="0" w:firstLine="562" w:firstLineChars="200"/>
        <w:textAlignment w:val="auto"/>
        <w:outlineLvl w:val="9"/>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五、招标答疑</w:t>
      </w:r>
    </w:p>
    <w:p>
      <w:pPr>
        <w:keepNext w:val="0"/>
        <w:keepLines w:val="0"/>
        <w:pageBreakBefore w:val="0"/>
        <w:kinsoku/>
        <w:overflowPunct/>
        <w:topLinePunct w:val="0"/>
        <w:bidi w:val="0"/>
        <w:snapToGrid w:val="0"/>
        <w:spacing w:line="560" w:lineRule="exact"/>
        <w:ind w:right="0" w:rightChars="0" w:firstLine="560" w:firstLineChars="200"/>
        <w:textAlignment w:val="auto"/>
        <w:outlineLvl w:val="9"/>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2024</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19</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16</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overflowPunct/>
        <w:topLinePunct w:val="0"/>
        <w:bidi w:val="0"/>
        <w:snapToGrid w:val="0"/>
        <w:spacing w:line="560" w:lineRule="exact"/>
        <w:ind w:right="0" w:rightChars="0" w:firstLine="562" w:firstLineChars="200"/>
        <w:jc w:val="left"/>
        <w:textAlignment w:val="auto"/>
        <w:outlineLvl w:val="9"/>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六、投标文件的递交</w:t>
      </w:r>
    </w:p>
    <w:p>
      <w:pPr>
        <w:keepNext w:val="0"/>
        <w:keepLines w:val="0"/>
        <w:pageBreakBefore w:val="0"/>
        <w:widowControl/>
        <w:numPr>
          <w:ilvl w:val="0"/>
          <w:numId w:val="3"/>
        </w:numPr>
        <w:kinsoku/>
        <w:wordWrap w:val="0"/>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投标文件递交截止时间：</w:t>
      </w:r>
      <w:r>
        <w:rPr>
          <w:rFonts w:hint="eastAsia" w:ascii="仿宋_GB2312" w:hAnsi="仿宋_GB2312" w:eastAsia="仿宋_GB2312" w:cs="仿宋_GB2312"/>
          <w:color w:val="auto"/>
          <w:kern w:val="0"/>
          <w:sz w:val="28"/>
          <w:szCs w:val="28"/>
          <w:highlight w:val="none"/>
          <w:lang w:val="en-US" w:eastAsia="zh-CN"/>
        </w:rPr>
        <w:t>2024</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23</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分前（北京时间）。投标文件在封口处加盖公章并注明是：</w:t>
      </w:r>
      <w:r>
        <w:rPr>
          <w:rFonts w:hint="eastAsia" w:ascii="仿宋_GB2312" w:hAnsi="仿宋_GB2312" w:eastAsia="仿宋_GB2312" w:cs="仿宋_GB2312"/>
          <w:b/>
          <w:bCs/>
          <w:color w:val="auto"/>
          <w:sz w:val="28"/>
          <w:szCs w:val="28"/>
          <w:highlight w:val="none"/>
        </w:rPr>
        <w:t>杭州萧山国际机场</w:t>
      </w:r>
      <w:r>
        <w:rPr>
          <w:rFonts w:hint="eastAsia" w:ascii="仿宋_GB2312" w:hAnsi="仿宋_GB2312" w:eastAsia="仿宋_GB2312" w:cs="仿宋_GB2312"/>
          <w:b/>
          <w:bCs/>
          <w:color w:val="auto"/>
          <w:sz w:val="28"/>
          <w:szCs w:val="28"/>
          <w:highlight w:val="none"/>
          <w:lang w:eastAsia="zh-CN"/>
        </w:rPr>
        <w:t>T3航站楼值机岛开包间后端增加隔断项目</w:t>
      </w:r>
      <w:r>
        <w:rPr>
          <w:rFonts w:hint="eastAsia" w:ascii="仿宋_GB2312" w:hAnsi="仿宋_GB2312" w:eastAsia="仿宋_GB2312" w:cs="仿宋_GB2312"/>
          <w:b/>
          <w:bCs/>
          <w:color w:val="auto"/>
          <w:sz w:val="28"/>
          <w:szCs w:val="28"/>
          <w:highlight w:val="none"/>
        </w:rPr>
        <w:t>投标文件</w:t>
      </w:r>
      <w:r>
        <w:rPr>
          <w:rFonts w:hint="eastAsia" w:ascii="仿宋_GB2312" w:hAnsi="仿宋_GB2312" w:eastAsia="仿宋_GB2312" w:cs="仿宋_GB2312"/>
          <w:color w:val="auto"/>
          <w:kern w:val="0"/>
          <w:sz w:val="28"/>
          <w:szCs w:val="28"/>
          <w:highlight w:val="none"/>
        </w:rPr>
        <w:t>，并派专人于</w:t>
      </w:r>
      <w:r>
        <w:rPr>
          <w:rFonts w:hint="eastAsia" w:ascii="仿宋_GB2312" w:hAnsi="仿宋_GB2312" w:eastAsia="仿宋_GB2312" w:cs="仿宋_GB2312"/>
          <w:color w:val="auto"/>
          <w:kern w:val="0"/>
          <w:sz w:val="28"/>
          <w:szCs w:val="28"/>
          <w:highlight w:val="none"/>
          <w:lang w:val="en-US" w:eastAsia="zh-CN"/>
        </w:rPr>
        <w:t>2024</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23</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分前（北京时间）前送至</w:t>
      </w:r>
      <w:r>
        <w:rPr>
          <w:rFonts w:hint="eastAsia" w:ascii="仿宋_GB2312" w:hAnsi="仿宋_GB2312" w:eastAsia="仿宋_GB2312" w:cs="仿宋_GB2312"/>
          <w:b/>
          <w:bCs/>
          <w:color w:val="auto"/>
          <w:kern w:val="0"/>
          <w:sz w:val="28"/>
          <w:szCs w:val="28"/>
          <w:highlight w:val="none"/>
        </w:rPr>
        <w:t>杭州萧山国际机场物业维修</w:t>
      </w:r>
      <w:bookmarkStart w:id="30" w:name="_GoBack"/>
      <w:bookmarkEnd w:id="30"/>
      <w:r>
        <w:rPr>
          <w:rFonts w:hint="eastAsia" w:ascii="仿宋_GB2312" w:hAnsi="仿宋_GB2312" w:eastAsia="仿宋_GB2312" w:cs="仿宋_GB2312"/>
          <w:b/>
          <w:bCs/>
          <w:color w:val="auto"/>
          <w:kern w:val="0"/>
          <w:sz w:val="28"/>
          <w:szCs w:val="28"/>
          <w:highlight w:val="none"/>
        </w:rPr>
        <w:t>中心</w:t>
      </w:r>
      <w:r>
        <w:rPr>
          <w:rFonts w:hint="eastAsia" w:ascii="仿宋_GB2312" w:hAnsi="仿宋_GB2312" w:eastAsia="仿宋_GB2312" w:cs="仿宋_GB2312"/>
          <w:color w:val="auto"/>
          <w:kern w:val="0"/>
          <w:sz w:val="28"/>
          <w:szCs w:val="28"/>
          <w:highlight w:val="none"/>
        </w:rPr>
        <w:t>，逾期无效；若采用投递方式的，请于</w:t>
      </w:r>
      <w:r>
        <w:rPr>
          <w:rFonts w:hint="eastAsia" w:ascii="仿宋_GB2312" w:hAnsi="仿宋_GB2312" w:eastAsia="仿宋_GB2312" w:cs="仿宋_GB2312"/>
          <w:color w:val="auto"/>
          <w:kern w:val="0"/>
          <w:sz w:val="28"/>
          <w:szCs w:val="28"/>
          <w:highlight w:val="none"/>
          <w:lang w:val="en-US" w:eastAsia="zh-CN"/>
        </w:rPr>
        <w:t>2024</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23</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分前（北京时间）前投递至</w:t>
      </w:r>
      <w:r>
        <w:rPr>
          <w:rFonts w:hint="eastAsia" w:ascii="仿宋_GB2312" w:hAnsi="仿宋_GB2312" w:eastAsia="仿宋_GB2312" w:cs="仿宋_GB2312"/>
          <w:b/>
          <w:bCs/>
          <w:color w:val="auto"/>
          <w:kern w:val="0"/>
          <w:sz w:val="28"/>
          <w:szCs w:val="28"/>
          <w:highlight w:val="none"/>
        </w:rPr>
        <w:t>杭州萧山国际机场物业维修中心</w:t>
      </w:r>
      <w:r>
        <w:rPr>
          <w:rFonts w:hint="eastAsia" w:ascii="仿宋_GB2312" w:hAnsi="仿宋_GB2312" w:eastAsia="仿宋_GB2312" w:cs="仿宋_GB2312"/>
          <w:color w:val="auto"/>
          <w:kern w:val="0"/>
          <w:sz w:val="28"/>
          <w:szCs w:val="28"/>
          <w:highlight w:val="none"/>
        </w:rPr>
        <w:t>，快递面单上注明是：</w:t>
      </w:r>
      <w:r>
        <w:rPr>
          <w:rFonts w:hint="eastAsia" w:ascii="仿宋_GB2312" w:hAnsi="仿宋_GB2312" w:eastAsia="仿宋_GB2312" w:cs="仿宋_GB2312"/>
          <w:b/>
          <w:bCs/>
          <w:color w:val="auto"/>
          <w:sz w:val="28"/>
          <w:szCs w:val="28"/>
          <w:highlight w:val="none"/>
        </w:rPr>
        <w:t>杭州萧山国际机场</w:t>
      </w:r>
      <w:r>
        <w:rPr>
          <w:rFonts w:hint="eastAsia" w:ascii="仿宋_GB2312" w:hAnsi="仿宋_GB2312" w:eastAsia="仿宋_GB2312" w:cs="仿宋_GB2312"/>
          <w:b/>
          <w:bCs/>
          <w:color w:val="auto"/>
          <w:sz w:val="28"/>
          <w:szCs w:val="28"/>
          <w:highlight w:val="none"/>
          <w:lang w:eastAsia="zh-CN"/>
        </w:rPr>
        <w:t>T3航站楼值机岛开包间后端增加隔断项目</w:t>
      </w:r>
      <w:r>
        <w:rPr>
          <w:rFonts w:hint="eastAsia" w:ascii="仿宋_GB2312" w:hAnsi="仿宋_GB2312" w:eastAsia="仿宋_GB2312" w:cs="仿宋_GB2312"/>
          <w:b/>
          <w:bCs/>
          <w:color w:val="auto"/>
          <w:sz w:val="28"/>
          <w:szCs w:val="28"/>
          <w:highlight w:val="none"/>
        </w:rPr>
        <w:t>投标文件</w:t>
      </w:r>
      <w:r>
        <w:rPr>
          <w:rFonts w:hint="eastAsia" w:ascii="仿宋_GB2312" w:hAnsi="仿宋_GB2312" w:eastAsia="仿宋_GB2312" w:cs="仿宋_GB2312"/>
          <w:b/>
          <w:bCs/>
          <w:color w:val="auto"/>
          <w:kern w:val="0"/>
          <w:sz w:val="28"/>
          <w:szCs w:val="28"/>
          <w:highlight w:val="none"/>
        </w:rPr>
        <w:t>。</w:t>
      </w:r>
    </w:p>
    <w:p>
      <w:pPr>
        <w:keepNext w:val="0"/>
        <w:keepLines w:val="0"/>
        <w:pageBreakBefore w:val="0"/>
        <w:widowControl/>
        <w:numPr>
          <w:ilvl w:val="0"/>
          <w:numId w:val="3"/>
        </w:numPr>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逾期送达或者未送达指定地点的投标文件，招标人不予受理。</w:t>
      </w:r>
    </w:p>
    <w:p>
      <w:pPr>
        <w:keepNext w:val="0"/>
        <w:keepLines w:val="0"/>
        <w:pageBreakBefore w:val="0"/>
        <w:widowControl/>
        <w:numPr>
          <w:ilvl w:val="0"/>
          <w:numId w:val="3"/>
        </w:numPr>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投标文件正本一份，副本二份。</w:t>
      </w:r>
    </w:p>
    <w:p>
      <w:pPr>
        <w:keepNext w:val="0"/>
        <w:keepLines w:val="0"/>
        <w:pageBreakBefore w:val="0"/>
        <w:widowControl/>
        <w:numPr>
          <w:ilvl w:val="0"/>
          <w:numId w:val="3"/>
        </w:numPr>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投标文件封面（或扉页）、投标函以及各类报价表均须加盖投标人单</w:t>
      </w:r>
      <w:r>
        <w:rPr>
          <w:rFonts w:hint="eastAsia" w:ascii="仿宋_GB2312" w:hAnsi="仿宋_GB2312" w:eastAsia="仿宋_GB2312" w:cs="仿宋_GB2312"/>
          <w:sz w:val="28"/>
          <w:szCs w:val="28"/>
          <w:highlight w:val="none"/>
        </w:rPr>
        <w:t>位章，并经法定代表人（或其委托代理人）签字或盖章。</w:t>
      </w:r>
    </w:p>
    <w:p>
      <w:pPr>
        <w:keepNext w:val="0"/>
        <w:keepLines w:val="0"/>
        <w:pageBreakBefore w:val="0"/>
        <w:widowControl/>
        <w:numPr>
          <w:ilvl w:val="0"/>
          <w:numId w:val="3"/>
        </w:numPr>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装订要求为不分册装订，每册采用胶装等方式装订，装订应牢固、不易拆散和换页，不得采用活页装订。</w:t>
      </w:r>
    </w:p>
    <w:p>
      <w:pPr>
        <w:keepNext w:val="0"/>
        <w:keepLines w:val="0"/>
        <w:pageBreakBefore w:val="0"/>
        <w:widowControl/>
        <w:numPr>
          <w:ilvl w:val="0"/>
          <w:numId w:val="3"/>
        </w:numPr>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封套上写明：</w:t>
      </w:r>
    </w:p>
    <w:p>
      <w:pPr>
        <w:keepNext w:val="0"/>
        <w:keepLines w:val="0"/>
        <w:pageBreakBefore w:val="0"/>
        <w:kinsoku/>
        <w:overflowPunct/>
        <w:topLinePunct w:val="0"/>
        <w:autoSpaceDE w:val="0"/>
        <w:autoSpaceDN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招标人的地址：</w:t>
      </w:r>
      <w:r>
        <w:rPr>
          <w:rFonts w:hint="eastAsia" w:ascii="仿宋_GB2312" w:hAnsi="仿宋_GB2312" w:eastAsia="仿宋_GB2312" w:cs="仿宋_GB2312"/>
          <w:sz w:val="28"/>
          <w:szCs w:val="28"/>
          <w:highlight w:val="none"/>
          <w:u w:val="single"/>
        </w:rPr>
        <w:t>杭州萧山国际机场内</w:t>
      </w:r>
    </w:p>
    <w:p>
      <w:pPr>
        <w:keepNext w:val="0"/>
        <w:keepLines w:val="0"/>
        <w:pageBreakBefore w:val="0"/>
        <w:kinsoku/>
        <w:overflowPunct/>
        <w:topLinePunct w:val="0"/>
        <w:autoSpaceDE w:val="0"/>
        <w:autoSpaceDN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招标人名称：</w:t>
      </w:r>
      <w:r>
        <w:rPr>
          <w:rFonts w:hint="eastAsia" w:ascii="仿宋_GB2312" w:hAnsi="仿宋_GB2312" w:eastAsia="仿宋_GB2312" w:cs="仿宋_GB2312"/>
          <w:kern w:val="0"/>
          <w:sz w:val="28"/>
          <w:szCs w:val="28"/>
          <w:highlight w:val="none"/>
          <w:u w:val="single"/>
        </w:rPr>
        <w:t>杭州萧山国际机场有限公司</w:t>
      </w:r>
    </w:p>
    <w:p>
      <w:pPr>
        <w:keepNext w:val="0"/>
        <w:keepLines w:val="0"/>
        <w:pageBreakBefore w:val="0"/>
        <w:kinsoku/>
        <w:overflowPunct/>
        <w:topLinePunct w:val="0"/>
        <w:autoSpaceDE w:val="0"/>
        <w:autoSpaceDN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u w:val="single"/>
        </w:rPr>
        <w:t>杭州萧山国际机场</w:t>
      </w:r>
      <w:r>
        <w:rPr>
          <w:rFonts w:hint="eastAsia" w:ascii="仿宋_GB2312" w:hAnsi="仿宋_GB2312" w:eastAsia="仿宋_GB2312" w:cs="仿宋_GB2312"/>
          <w:sz w:val="28"/>
          <w:szCs w:val="28"/>
          <w:highlight w:val="none"/>
          <w:u w:val="single"/>
          <w:lang w:eastAsia="zh-CN"/>
        </w:rPr>
        <w:t>T3航站楼值机岛开包间后端增加隔断项目</w:t>
      </w:r>
      <w:r>
        <w:rPr>
          <w:rFonts w:hint="eastAsia" w:ascii="仿宋_GB2312" w:hAnsi="仿宋_GB2312" w:eastAsia="仿宋_GB2312" w:cs="仿宋_GB2312"/>
          <w:sz w:val="28"/>
          <w:szCs w:val="28"/>
          <w:highlight w:val="none"/>
        </w:rPr>
        <w:t>投标文件</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auto"/>
          <w:kern w:val="0"/>
          <w:sz w:val="28"/>
          <w:szCs w:val="28"/>
          <w:highlight w:val="none"/>
        </w:rPr>
        <w:t>在</w:t>
      </w:r>
      <w:r>
        <w:rPr>
          <w:rFonts w:hint="eastAsia" w:ascii="仿宋_GB2312" w:hAnsi="仿宋_GB2312" w:eastAsia="仿宋_GB2312" w:cs="仿宋_GB2312"/>
          <w:color w:val="auto"/>
          <w:kern w:val="0"/>
          <w:sz w:val="28"/>
          <w:szCs w:val="28"/>
          <w:highlight w:val="none"/>
          <w:u w:val="single"/>
          <w:lang w:val="en-US" w:eastAsia="zh-CN"/>
        </w:rPr>
        <w:t>2023</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lang w:val="en-US" w:eastAsia="zh-CN"/>
        </w:rPr>
        <w:t>1</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lang w:val="en-US" w:eastAsia="zh-CN"/>
        </w:rPr>
        <w:t>23</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u w:val="single"/>
          <w:lang w:val="en-US" w:eastAsia="zh-CN"/>
        </w:rPr>
        <w:t>9</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u w:val="single"/>
          <w:lang w:val="en-US" w:eastAsia="zh-CN"/>
        </w:rPr>
        <w:t>00</w:t>
      </w:r>
      <w:r>
        <w:rPr>
          <w:rFonts w:hint="eastAsia" w:ascii="仿宋_GB2312" w:hAnsi="仿宋_GB2312" w:eastAsia="仿宋_GB2312" w:cs="仿宋_GB2312"/>
          <w:color w:val="auto"/>
          <w:kern w:val="0"/>
          <w:sz w:val="28"/>
          <w:szCs w:val="28"/>
          <w:highlight w:val="none"/>
        </w:rPr>
        <w:t>分（即开标时</w:t>
      </w:r>
      <w:r>
        <w:rPr>
          <w:rFonts w:hint="eastAsia" w:ascii="仿宋_GB2312" w:hAnsi="仿宋_GB2312" w:eastAsia="仿宋_GB2312" w:cs="仿宋_GB2312"/>
          <w:kern w:val="0"/>
          <w:sz w:val="28"/>
          <w:szCs w:val="28"/>
          <w:highlight w:val="none"/>
        </w:rPr>
        <w:t>间）前不得开启</w:t>
      </w:r>
    </w:p>
    <w:p>
      <w:pPr>
        <w:keepNext w:val="0"/>
        <w:keepLines w:val="0"/>
        <w:pageBreakBefore w:val="0"/>
        <w:widowControl/>
        <w:kinsoku/>
        <w:overflowPunct/>
        <w:topLinePunct w:val="0"/>
        <w:bidi w:val="0"/>
        <w:adjustRightInd w:val="0"/>
        <w:snapToGrid w:val="0"/>
        <w:spacing w:line="560" w:lineRule="exact"/>
        <w:ind w:right="0" w:rightChars="0" w:firstLine="562" w:firstLineChars="200"/>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七、开标</w:t>
      </w:r>
    </w:p>
    <w:p>
      <w:pPr>
        <w:keepNext w:val="0"/>
        <w:keepLines w:val="0"/>
        <w:pageBreakBefore w:val="0"/>
        <w:kinsoku/>
        <w:overflowPunct/>
        <w:topLinePunct w:val="0"/>
        <w:autoSpaceDE w:val="0"/>
        <w:autoSpaceDN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（1）开标时间同投标截止时间，开标地点为</w:t>
      </w:r>
      <w:r>
        <w:rPr>
          <w:rFonts w:hint="eastAsia" w:ascii="仿宋_GB2312" w:hAnsi="仿宋_GB2312" w:eastAsia="仿宋_GB2312" w:cs="仿宋_GB2312"/>
          <w:b/>
          <w:sz w:val="28"/>
          <w:szCs w:val="28"/>
          <w:highlight w:val="none"/>
        </w:rPr>
        <w:t>杭州萧山国际机场翔越路综合服务楼园区招标中心。</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（2）由投标人或者其集体推选的代表检查投标文件的密封情况，开标顺序按照后送达先开的顺序。</w:t>
      </w:r>
    </w:p>
    <w:p>
      <w:pPr>
        <w:keepNext w:val="0"/>
        <w:keepLines w:val="0"/>
        <w:pageBreakBefore w:val="0"/>
        <w:widowControl/>
        <w:kinsoku/>
        <w:overflowPunct/>
        <w:topLinePunct w:val="0"/>
        <w:bidi w:val="0"/>
        <w:adjustRightInd w:val="0"/>
        <w:snapToGrid w:val="0"/>
        <w:spacing w:line="560" w:lineRule="exact"/>
        <w:ind w:right="0" w:rightChars="0" w:firstLine="562" w:firstLineChars="200"/>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八、其他说明</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kern w:val="0"/>
          <w:sz w:val="28"/>
          <w:szCs w:val="28"/>
          <w:highlight w:val="none"/>
        </w:rPr>
        <w:t>（1）采取公开招标和资格后审。</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（2）评标委员会由3人及以上单数构成。</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（3）评标委员会成员招标人自行组建。</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（4）评标委员会推荐的中标候选人数：1人。</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rPr>
      </w:pPr>
      <w:bookmarkStart w:id="3" w:name="_Toc19218"/>
      <w:bookmarkStart w:id="4" w:name="_Toc3775"/>
      <w:r>
        <w:rPr>
          <w:rFonts w:hint="eastAsia" w:ascii="仿宋_GB2312" w:hAnsi="仿宋_GB2312" w:eastAsia="仿宋_GB2312" w:cs="仿宋_GB2312"/>
          <w:kern w:val="0"/>
          <w:sz w:val="28"/>
          <w:szCs w:val="28"/>
          <w:highlight w:val="none"/>
        </w:rPr>
        <w:t>（5）</w:t>
      </w:r>
      <w:bookmarkEnd w:id="3"/>
      <w:bookmarkEnd w:id="4"/>
      <w:r>
        <w:rPr>
          <w:rFonts w:hint="eastAsia" w:ascii="仿宋_GB2312" w:hAnsi="仿宋_GB2312" w:eastAsia="仿宋_GB2312" w:cs="仿宋_GB2312"/>
          <w:kern w:val="0"/>
          <w:sz w:val="28"/>
          <w:szCs w:val="28"/>
          <w:highlight w:val="none"/>
        </w:rPr>
        <w:t>本次评标采用综合评估法推荐中标候选人。</w:t>
      </w:r>
    </w:p>
    <w:p>
      <w:pPr>
        <w:keepNext w:val="0"/>
        <w:keepLines w:val="0"/>
        <w:pageBreakBefore w:val="0"/>
        <w:widowControl/>
        <w:kinsoku/>
        <w:overflowPunct/>
        <w:topLinePunct w:val="0"/>
        <w:bidi w:val="0"/>
        <w:snapToGrid w:val="0"/>
        <w:spacing w:line="560" w:lineRule="exact"/>
        <w:ind w:right="0" w:rightChars="0" w:firstLine="562" w:firstLineChars="200"/>
        <w:jc w:val="left"/>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九、重新招标和不再招标</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（1）重新招标</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有下列情形之一的，招标人将重新招标：</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fldChar w:fldCharType="begin"/>
      </w:r>
      <w:r>
        <w:rPr>
          <w:rFonts w:hint="eastAsia" w:ascii="仿宋_GB2312" w:hAnsi="仿宋_GB2312" w:eastAsia="仿宋_GB2312" w:cs="仿宋_GB2312"/>
          <w:kern w:val="0"/>
          <w:sz w:val="28"/>
          <w:szCs w:val="28"/>
          <w:highlight w:val="none"/>
        </w:rPr>
        <w:instrText xml:space="preserve"> = 1 \* GB3 \* MERGEFORMAT </w:instrText>
      </w:r>
      <w:r>
        <w:rPr>
          <w:rFonts w:hint="eastAsia" w:ascii="仿宋_GB2312" w:hAnsi="仿宋_GB2312" w:eastAsia="仿宋_GB2312" w:cs="仿宋_GB2312"/>
          <w:kern w:val="0"/>
          <w:sz w:val="28"/>
          <w:szCs w:val="28"/>
          <w:highlight w:val="none"/>
        </w:rPr>
        <w:fldChar w:fldCharType="separate"/>
      </w:r>
      <w:r>
        <w:rPr>
          <w:rFonts w:hint="eastAsia" w:ascii="仿宋_GB2312" w:hAnsi="仿宋_GB2312" w:eastAsia="仿宋_GB2312" w:cs="仿宋_GB2312"/>
          <w:sz w:val="28"/>
          <w:szCs w:val="28"/>
          <w:highlight w:val="none"/>
        </w:rPr>
        <w:t>①</w:t>
      </w:r>
      <w:r>
        <w:rPr>
          <w:rFonts w:hint="eastAsia" w:ascii="仿宋_GB2312" w:hAnsi="仿宋_GB2312" w:eastAsia="仿宋_GB2312" w:cs="仿宋_GB2312"/>
          <w:kern w:val="0"/>
          <w:sz w:val="28"/>
          <w:szCs w:val="28"/>
          <w:highlight w:val="none"/>
        </w:rPr>
        <w:fldChar w:fldCharType="end"/>
      </w:r>
      <w:r>
        <w:rPr>
          <w:rFonts w:hint="eastAsia" w:ascii="仿宋_GB2312" w:hAnsi="仿宋_GB2312" w:eastAsia="仿宋_GB2312" w:cs="仿宋_GB2312"/>
          <w:kern w:val="0"/>
          <w:sz w:val="28"/>
          <w:szCs w:val="28"/>
          <w:highlight w:val="none"/>
        </w:rPr>
        <w:t>投标截止时间止，投标人少于3个的；</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fldChar w:fldCharType="begin"/>
      </w:r>
      <w:r>
        <w:rPr>
          <w:rFonts w:hint="eastAsia" w:ascii="仿宋_GB2312" w:hAnsi="仿宋_GB2312" w:eastAsia="仿宋_GB2312" w:cs="仿宋_GB2312"/>
          <w:kern w:val="0"/>
          <w:sz w:val="28"/>
          <w:szCs w:val="28"/>
          <w:highlight w:val="none"/>
        </w:rPr>
        <w:instrText xml:space="preserve"> = 2 \* GB3 \* MERGEFORMAT </w:instrText>
      </w:r>
      <w:r>
        <w:rPr>
          <w:rFonts w:hint="eastAsia" w:ascii="仿宋_GB2312" w:hAnsi="仿宋_GB2312" w:eastAsia="仿宋_GB2312" w:cs="仿宋_GB2312"/>
          <w:kern w:val="0"/>
          <w:sz w:val="28"/>
          <w:szCs w:val="28"/>
          <w:highlight w:val="none"/>
        </w:rPr>
        <w:fldChar w:fldCharType="separate"/>
      </w:r>
      <w:r>
        <w:rPr>
          <w:rFonts w:hint="eastAsia" w:ascii="仿宋_GB2312" w:hAnsi="仿宋_GB2312" w:eastAsia="仿宋_GB2312" w:cs="仿宋_GB2312"/>
          <w:sz w:val="28"/>
          <w:szCs w:val="28"/>
          <w:highlight w:val="none"/>
        </w:rPr>
        <w:t>②</w:t>
      </w:r>
      <w:r>
        <w:rPr>
          <w:rFonts w:hint="eastAsia" w:ascii="仿宋_GB2312" w:hAnsi="仿宋_GB2312" w:eastAsia="仿宋_GB2312" w:cs="仿宋_GB2312"/>
          <w:kern w:val="0"/>
          <w:sz w:val="28"/>
          <w:szCs w:val="28"/>
          <w:highlight w:val="none"/>
        </w:rPr>
        <w:fldChar w:fldCharType="end"/>
      </w:r>
      <w:r>
        <w:rPr>
          <w:rFonts w:hint="eastAsia" w:ascii="仿宋_GB2312" w:hAnsi="仿宋_GB2312" w:eastAsia="仿宋_GB2312" w:cs="仿宋_GB2312"/>
          <w:kern w:val="0"/>
          <w:sz w:val="28"/>
          <w:szCs w:val="28"/>
          <w:highlight w:val="none"/>
        </w:rPr>
        <w:t>所有投标人的报价均偏高，招标人无法接受的；</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fldChar w:fldCharType="begin"/>
      </w:r>
      <w:r>
        <w:rPr>
          <w:rFonts w:hint="eastAsia" w:ascii="仿宋_GB2312" w:hAnsi="仿宋_GB2312" w:eastAsia="仿宋_GB2312" w:cs="仿宋_GB2312"/>
          <w:kern w:val="0"/>
          <w:sz w:val="28"/>
          <w:szCs w:val="28"/>
          <w:highlight w:val="none"/>
        </w:rPr>
        <w:instrText xml:space="preserve"> = 3 \* GB3 \* MERGEFORMAT </w:instrText>
      </w:r>
      <w:r>
        <w:rPr>
          <w:rFonts w:hint="eastAsia" w:ascii="仿宋_GB2312" w:hAnsi="仿宋_GB2312" w:eastAsia="仿宋_GB2312" w:cs="仿宋_GB2312"/>
          <w:kern w:val="0"/>
          <w:sz w:val="28"/>
          <w:szCs w:val="28"/>
          <w:highlight w:val="none"/>
        </w:rPr>
        <w:fldChar w:fldCharType="separate"/>
      </w:r>
      <w:r>
        <w:rPr>
          <w:rFonts w:hint="eastAsia" w:ascii="仿宋_GB2312" w:hAnsi="仿宋_GB2312" w:eastAsia="仿宋_GB2312" w:cs="仿宋_GB2312"/>
          <w:sz w:val="28"/>
          <w:szCs w:val="28"/>
          <w:highlight w:val="none"/>
        </w:rPr>
        <w:t>③</w:t>
      </w:r>
      <w:r>
        <w:rPr>
          <w:rFonts w:hint="eastAsia" w:ascii="仿宋_GB2312" w:hAnsi="仿宋_GB2312" w:eastAsia="仿宋_GB2312" w:cs="仿宋_GB2312"/>
          <w:kern w:val="0"/>
          <w:sz w:val="28"/>
          <w:szCs w:val="28"/>
          <w:highlight w:val="none"/>
        </w:rPr>
        <w:fldChar w:fldCharType="end"/>
      </w:r>
      <w:r>
        <w:rPr>
          <w:rFonts w:hint="eastAsia" w:ascii="仿宋_GB2312" w:hAnsi="仿宋_GB2312" w:eastAsia="仿宋_GB2312" w:cs="仿宋_GB2312"/>
          <w:kern w:val="0"/>
          <w:sz w:val="28"/>
          <w:szCs w:val="28"/>
          <w:highlight w:val="none"/>
        </w:rPr>
        <w:t>经评标委员会评审后否决所有投标的。</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投标人少于3个或经评审有效投标人少于3个，招标人不再另行发布通知，重新招标公告发布即表示本项目已进入新一轮招标。</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（2）不再招标</w:t>
      </w:r>
    </w:p>
    <w:p>
      <w:pPr>
        <w:keepNext w:val="0"/>
        <w:keepLines w:val="0"/>
        <w:pageBreakBefore w:val="0"/>
        <w:widowControl/>
        <w:kinsoku/>
        <w:overflowPunct/>
        <w:topLinePunct w:val="0"/>
        <w:bidi w:val="0"/>
        <w:adjustRightInd w:val="0"/>
        <w:snapToGrid w:val="0"/>
        <w:spacing w:line="560" w:lineRule="exact"/>
        <w:ind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重新招标后</w:t>
      </w:r>
      <w:r>
        <w:rPr>
          <w:rFonts w:hint="eastAsia" w:ascii="仿宋_GB2312" w:hAnsi="仿宋_GB2312" w:eastAsia="仿宋_GB2312" w:cs="仿宋_GB2312"/>
          <w:kern w:val="0"/>
          <w:sz w:val="28"/>
          <w:szCs w:val="28"/>
          <w:highlight w:val="none"/>
          <w:lang w:val="en-US" w:eastAsia="zh-CN"/>
        </w:rPr>
        <w:t>有效</w:t>
      </w:r>
      <w:r>
        <w:rPr>
          <w:rFonts w:hint="eastAsia" w:ascii="仿宋_GB2312" w:hAnsi="仿宋_GB2312" w:eastAsia="仿宋_GB2312" w:cs="仿宋_GB2312"/>
          <w:kern w:val="0"/>
          <w:sz w:val="28"/>
          <w:szCs w:val="28"/>
          <w:highlight w:val="none"/>
        </w:rPr>
        <w:t>投标人仍少于3个或者所有投标被否决的，经批准后可采用其他方式实施。</w:t>
      </w:r>
    </w:p>
    <w:p>
      <w:pPr>
        <w:keepNext w:val="0"/>
        <w:keepLines w:val="0"/>
        <w:pageBreakBefore w:val="0"/>
        <w:widowControl/>
        <w:kinsoku/>
        <w:overflowPunct/>
        <w:topLinePunct w:val="0"/>
        <w:bidi w:val="0"/>
        <w:snapToGrid w:val="0"/>
        <w:spacing w:line="560" w:lineRule="exact"/>
        <w:ind w:right="0" w:rightChars="0" w:firstLine="562" w:firstLineChars="200"/>
        <w:jc w:val="left"/>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十、发布公告的媒介</w:t>
      </w:r>
    </w:p>
    <w:p>
      <w:pPr>
        <w:keepNext w:val="0"/>
        <w:keepLines w:val="0"/>
        <w:pageBreakBefore w:val="0"/>
        <w:kinsoku/>
        <w:overflowPunct/>
        <w:topLinePunct w:val="0"/>
        <w:bidi w:val="0"/>
        <w:snapToGrid w:val="0"/>
        <w:spacing w:line="560" w:lineRule="exact"/>
        <w:ind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本次招标公告在杭州萧山机场有限公司主页http://www.hzairport.com上进行发布。</w:t>
      </w:r>
    </w:p>
    <w:p>
      <w:pPr>
        <w:keepNext w:val="0"/>
        <w:keepLines w:val="0"/>
        <w:pageBreakBefore w:val="0"/>
        <w:widowControl/>
        <w:kinsoku/>
        <w:overflowPunct/>
        <w:topLinePunct w:val="0"/>
        <w:bidi w:val="0"/>
        <w:snapToGrid w:val="0"/>
        <w:spacing w:line="560" w:lineRule="exact"/>
        <w:ind w:right="0" w:rightChars="0" w:firstLine="562" w:firstLineChars="200"/>
        <w:jc w:val="left"/>
        <w:textAlignment w:val="auto"/>
        <w:outlineLvl w:val="9"/>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十一、联系方式</w:t>
      </w:r>
    </w:p>
    <w:p>
      <w:pPr>
        <w:keepNext w:val="0"/>
        <w:keepLines w:val="0"/>
        <w:pageBreakBefore w:val="0"/>
        <w:widowControl/>
        <w:kinsoku/>
        <w:overflowPunct/>
        <w:topLinePunct w:val="0"/>
        <w:bidi w:val="0"/>
        <w:snapToGrid w:val="0"/>
        <w:spacing w:line="560" w:lineRule="exact"/>
        <w:ind w:right="0" w:rightChars="0" w:firstLine="560" w:firstLineChars="20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投标联系人：吴淼清        联系电话：0571-86662348 </w:t>
      </w:r>
    </w:p>
    <w:p>
      <w:pPr>
        <w:keepNext w:val="0"/>
        <w:keepLines w:val="0"/>
        <w:pageBreakBefore w:val="0"/>
        <w:widowControl/>
        <w:kinsoku/>
        <w:overflowPunct/>
        <w:topLinePunct w:val="0"/>
        <w:bidi w:val="0"/>
        <w:snapToGrid w:val="0"/>
        <w:spacing w:line="560" w:lineRule="exact"/>
        <w:ind w:right="0" w:rightChars="0" w:firstLine="560" w:firstLineChars="200"/>
        <w:jc w:val="left"/>
        <w:textAlignment w:val="auto"/>
        <w:outlineLvl w:val="9"/>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监督联系人：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曾宪武</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联系电话：0571-86662361</w:t>
      </w:r>
    </w:p>
    <w:bookmarkEnd w:id="1"/>
    <w:bookmarkEnd w:id="2"/>
    <w:p>
      <w:pPr>
        <w:pStyle w:val="13"/>
        <w:pageBreakBefore/>
        <w:spacing w:before="0" w:after="0" w:line="560" w:lineRule="exact"/>
        <w:rPr>
          <w:highlight w:val="none"/>
        </w:rPr>
      </w:pPr>
      <w:bookmarkStart w:id="5" w:name="_Toc28761"/>
      <w:bookmarkStart w:id="6" w:name="_Toc568"/>
      <w:bookmarkStart w:id="7" w:name="_Toc27752"/>
      <w:r>
        <w:rPr>
          <w:highlight w:val="none"/>
        </w:rPr>
        <w:t>第</w:t>
      </w:r>
      <w:r>
        <w:rPr>
          <w:rFonts w:hint="eastAsia"/>
          <w:highlight w:val="none"/>
        </w:rPr>
        <w:t>二</w:t>
      </w:r>
      <w:r>
        <w:rPr>
          <w:highlight w:val="none"/>
        </w:rPr>
        <w:t xml:space="preserve">章 </w:t>
      </w:r>
      <w:r>
        <w:rPr>
          <w:rFonts w:hint="eastAsia"/>
          <w:highlight w:val="none"/>
        </w:rPr>
        <w:t>评标办法</w:t>
      </w:r>
      <w:bookmarkEnd w:id="5"/>
      <w:bookmarkEnd w:id="6"/>
    </w:p>
    <w:bookmarkEnd w:id="7"/>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根据《中华人民共和国民法典》</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562" w:firstLineChars="200"/>
        <w:textAlignment w:val="auto"/>
        <w:outlineLvl w:val="9"/>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一、评标原则</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560" w:firstLineChars="200"/>
        <w:textAlignment w:val="auto"/>
        <w:outlineLvl w:val="9"/>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评标应遵循公平、公正、科学、择优的原则。</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562" w:firstLineChars="200"/>
        <w:textAlignment w:val="auto"/>
        <w:outlineLvl w:val="9"/>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二、评标组织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bookmarkStart w:id="8" w:name="_Hlk47377016"/>
      <w:r>
        <w:rPr>
          <w:rFonts w:hint="eastAsia" w:ascii="仿宋_GB2312" w:hAnsi="仿宋_GB2312" w:eastAsia="仿宋_GB2312" w:cs="仿宋_GB2312"/>
          <w:sz w:val="28"/>
          <w:szCs w:val="28"/>
          <w:highlight w:val="none"/>
        </w:rPr>
        <w:t>在任何评标环节中，评标委员会就某项定性的评审结论意见不一致的，由评标委员会全体成员按照少数服从多数的原则，以记名投票方式表决。</w:t>
      </w:r>
      <w:bookmarkEnd w:id="8"/>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562" w:firstLineChars="200"/>
        <w:textAlignment w:val="auto"/>
        <w:outlineLvl w:val="9"/>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三、评标程序和内容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(一)熟悉招标文件和评标办法；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(二)投标文件的符合性评审；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(三)投标文件的技术评审；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(四)投标文件的商务评审；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四、评审细则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(一)符合性评审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评标委员会应依照招标文件的要求和规定首先对投标人的投标资格和投标文件进行符合性评审，</w:t>
      </w:r>
      <w:r>
        <w:rPr>
          <w:rFonts w:hint="eastAsia" w:ascii="仿宋_GB2312" w:hAnsi="仿宋_GB2312" w:eastAsia="仿宋_GB2312" w:cs="仿宋_GB2312"/>
          <w:b/>
          <w:sz w:val="28"/>
          <w:szCs w:val="28"/>
          <w:highlight w:val="none"/>
        </w:rPr>
        <w:t>审查过程中评标委员会可以要求投标人提交有关证明和证件的原件，以便核验。</w:t>
      </w:r>
      <w:bookmarkStart w:id="9" w:name="_Hlk47377053"/>
      <w:r>
        <w:rPr>
          <w:rFonts w:hint="eastAsia" w:ascii="仿宋_GB2312" w:hAnsi="仿宋_GB2312" w:eastAsia="仿宋_GB2312" w:cs="仿宋_GB2312"/>
          <w:sz w:val="28"/>
          <w:szCs w:val="28"/>
          <w:highlight w:val="none"/>
        </w:rPr>
        <w:t>经评标委员会</w:t>
      </w:r>
      <w:bookmarkStart w:id="10" w:name="_Hlk47446073"/>
      <w:r>
        <w:rPr>
          <w:rFonts w:hint="eastAsia" w:ascii="仿宋_GB2312" w:hAnsi="仿宋_GB2312" w:eastAsia="仿宋_GB2312" w:cs="仿宋_GB2312"/>
          <w:sz w:val="28"/>
          <w:szCs w:val="28"/>
          <w:highlight w:val="none"/>
        </w:rPr>
        <w:t>评审后，符合性审查不予通过，不再进行下一步评审</w:t>
      </w:r>
      <w:bookmarkEnd w:id="10"/>
      <w:r>
        <w:rPr>
          <w:rFonts w:hint="eastAsia" w:ascii="仿宋_GB2312" w:hAnsi="仿宋_GB2312" w:eastAsia="仿宋_GB2312" w:cs="仿宋_GB2312"/>
          <w:sz w:val="28"/>
          <w:szCs w:val="28"/>
          <w:highlight w:val="none"/>
        </w:rPr>
        <w:t>。</w:t>
      </w:r>
      <w:bookmarkEnd w:id="9"/>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(二)询标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(三)错误的修正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(四)评标细则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本次评标采用</w:t>
      </w:r>
      <w:r>
        <w:rPr>
          <w:rFonts w:hint="eastAsia" w:ascii="仿宋_GB2312" w:hAnsi="仿宋_GB2312" w:eastAsia="仿宋_GB2312" w:cs="仿宋_GB2312"/>
          <w:b/>
          <w:sz w:val="28"/>
          <w:szCs w:val="28"/>
          <w:highlight w:val="none"/>
        </w:rPr>
        <w:t>综合评估法</w:t>
      </w:r>
      <w:r>
        <w:rPr>
          <w:rFonts w:hint="eastAsia" w:ascii="仿宋_GB2312" w:hAnsi="仿宋_GB2312" w:eastAsia="仿宋_GB2312" w:cs="仿宋_GB2312"/>
          <w:sz w:val="28"/>
          <w:szCs w:val="28"/>
          <w:highlight w:val="none"/>
        </w:rPr>
        <w:t>，</w:t>
      </w:r>
      <w:bookmarkStart w:id="11" w:name="_Hlk47988709"/>
      <w:r>
        <w:rPr>
          <w:rFonts w:hint="eastAsia" w:ascii="仿宋_GB2312" w:hAnsi="仿宋_GB2312" w:eastAsia="仿宋_GB2312" w:cs="仿宋_GB2312"/>
          <w:sz w:val="28"/>
          <w:szCs w:val="28"/>
          <w:highlight w:val="none"/>
        </w:rPr>
        <w:t>评标委员会根据评审情况，对技术、商务等方面进行评审。评标委员会根据评审情况，对各投标人的投标文件进行打分。若评标委员会的评分表中计分不在分值范围内的，则该评分表无效。</w:t>
      </w:r>
      <w:bookmarkEnd w:id="11"/>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 xml:space="preserve">1.投标文件的技术评审( </w:t>
      </w:r>
      <w:r>
        <w:rPr>
          <w:rFonts w:hint="eastAsia" w:ascii="仿宋_GB2312" w:hAnsi="仿宋_GB2312" w:eastAsia="仿宋_GB2312" w:cs="仿宋_GB2312"/>
          <w:b/>
          <w:sz w:val="28"/>
          <w:szCs w:val="28"/>
          <w:highlight w:val="none"/>
          <w:u w:val="single"/>
        </w:rPr>
        <w:t>40</w:t>
      </w:r>
      <w:r>
        <w:rPr>
          <w:rFonts w:hint="eastAsia" w:ascii="仿宋_GB2312" w:hAnsi="仿宋_GB2312" w:eastAsia="仿宋_GB2312" w:cs="仿宋_GB2312"/>
          <w:b/>
          <w:sz w:val="28"/>
          <w:szCs w:val="28"/>
          <w:highlight w:val="none"/>
        </w:rPr>
        <w:t xml:space="preserve"> 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评分内容</w:t>
            </w:r>
          </w:p>
        </w:tc>
        <w:tc>
          <w:tcPr>
            <w:tcW w:w="699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评分标准</w:t>
            </w:r>
          </w:p>
        </w:tc>
        <w:tc>
          <w:tcPr>
            <w:tcW w:w="904" w:type="dxa"/>
            <w:vAlign w:val="center"/>
          </w:tcPr>
          <w:p>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b/>
                <w:bCs/>
                <w:spacing w:val="-6"/>
                <w:kern w:val="0"/>
                <w:sz w:val="28"/>
                <w:szCs w:val="28"/>
                <w:highlight w:val="none"/>
              </w:rPr>
            </w:pPr>
            <w:r>
              <w:rPr>
                <w:rFonts w:hint="eastAsia" w:ascii="仿宋_GB2312" w:hAnsi="仿宋_GB2312" w:eastAsia="仿宋_GB2312" w:cs="仿宋_GB2312"/>
                <w:b/>
                <w:bCs/>
                <w:spacing w:val="-6"/>
                <w:kern w:val="0"/>
                <w:sz w:val="28"/>
                <w:szCs w:val="28"/>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施工方案与技术措施</w:t>
            </w:r>
          </w:p>
        </w:tc>
        <w:tc>
          <w:tcPr>
            <w:tcW w:w="6998"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施工方案与技术措施内容的完整性、针对性和可行性，</w:t>
            </w:r>
            <w:r>
              <w:rPr>
                <w:rFonts w:hint="eastAsia" w:ascii="仿宋_GB2312" w:hAnsi="仿宋_GB2312" w:eastAsia="仿宋_GB2312" w:cs="仿宋_GB2312"/>
                <w:sz w:val="28"/>
                <w:szCs w:val="28"/>
                <w:highlight w:val="none"/>
                <w:lang w:eastAsia="zh-Hans"/>
              </w:rPr>
              <w:t>特别是针对本项目重点难点部位</w:t>
            </w:r>
            <w:r>
              <w:rPr>
                <w:rFonts w:hint="eastAsia" w:ascii="仿宋_GB2312" w:hAnsi="仿宋_GB2312" w:eastAsia="仿宋_GB2312" w:cs="仿宋_GB2312"/>
                <w:sz w:val="28"/>
                <w:szCs w:val="28"/>
                <w:highlight w:val="none"/>
              </w:rPr>
              <w:t>；各投标文件横向比较，优秀的得4.2-6分；良好的2.1-4.2分；一般的得0-2.1分。</w:t>
            </w:r>
          </w:p>
        </w:tc>
        <w:tc>
          <w:tcPr>
            <w:tcW w:w="904" w:type="dxa"/>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质量管理体系与措施</w:t>
            </w:r>
          </w:p>
        </w:tc>
        <w:tc>
          <w:tcPr>
            <w:tcW w:w="6998"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施工质量的控制和检验手段是否科学、可靠；各投标文件横向比较，优秀的得4.2-6分；良好的2.1-4.2分；一般的得0-2.1分。</w:t>
            </w:r>
          </w:p>
        </w:tc>
        <w:tc>
          <w:tcPr>
            <w:tcW w:w="904" w:type="dxa"/>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安全管理体系与措施</w:t>
            </w:r>
          </w:p>
        </w:tc>
        <w:tc>
          <w:tcPr>
            <w:tcW w:w="6998"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安全、文明施工的保证措施是否科学、到位；各投标文件横向比较，优秀的得4.2-6分；良好的2.1-4.2分；一般的得0-2.1分。</w:t>
            </w:r>
          </w:p>
        </w:tc>
        <w:tc>
          <w:tcPr>
            <w:tcW w:w="904" w:type="dxa"/>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环境保护管理体系与措施</w:t>
            </w:r>
          </w:p>
        </w:tc>
        <w:tc>
          <w:tcPr>
            <w:tcW w:w="6998"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市政、市容、环保</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消防等的保证措施是否科学、到位；各投标文件横向比较，优秀的得4.2-6分；良好的2.1-4.2分；一般的得0-2.1分。</w:t>
            </w:r>
          </w:p>
        </w:tc>
        <w:tc>
          <w:tcPr>
            <w:tcW w:w="904" w:type="dxa"/>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工期保证体系及保证措施</w:t>
            </w:r>
          </w:p>
        </w:tc>
        <w:tc>
          <w:tcPr>
            <w:tcW w:w="6998"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工期承诺及施工进度网络计划、关键节点和线路的技术保证措施是否具有针对性和可行性；现场施工不利条件和恶劣天气对施工</w:t>
            </w:r>
            <w:r>
              <w:rPr>
                <w:rFonts w:hint="eastAsia" w:ascii="仿宋_GB2312" w:hAnsi="仿宋_GB2312" w:eastAsia="仿宋_GB2312" w:cs="仿宋_GB2312"/>
                <w:sz w:val="28"/>
                <w:szCs w:val="28"/>
                <w:highlight w:val="none"/>
                <w:lang w:eastAsia="zh-Hans"/>
              </w:rPr>
              <w:t>工期</w:t>
            </w:r>
            <w:r>
              <w:rPr>
                <w:rFonts w:hint="eastAsia" w:ascii="仿宋_GB2312" w:hAnsi="仿宋_GB2312" w:eastAsia="仿宋_GB2312" w:cs="仿宋_GB2312"/>
                <w:sz w:val="28"/>
                <w:szCs w:val="28"/>
                <w:highlight w:val="none"/>
              </w:rPr>
              <w:t>带来</w:t>
            </w:r>
            <w:r>
              <w:rPr>
                <w:rFonts w:hint="eastAsia" w:ascii="仿宋_GB2312" w:hAnsi="仿宋_GB2312" w:eastAsia="仿宋_GB2312" w:cs="仿宋_GB2312"/>
                <w:sz w:val="28"/>
                <w:szCs w:val="28"/>
                <w:highlight w:val="none"/>
                <w:lang w:eastAsia="zh-Hans"/>
              </w:rPr>
              <w:t>的</w:t>
            </w:r>
            <w:r>
              <w:rPr>
                <w:rFonts w:hint="eastAsia" w:ascii="仿宋_GB2312" w:hAnsi="仿宋_GB2312" w:eastAsia="仿宋_GB2312" w:cs="仿宋_GB2312"/>
                <w:sz w:val="28"/>
                <w:szCs w:val="28"/>
                <w:highlight w:val="none"/>
              </w:rPr>
              <w:t>影响</w:t>
            </w:r>
            <w:r>
              <w:rPr>
                <w:rFonts w:hint="eastAsia" w:ascii="仿宋_GB2312" w:hAnsi="仿宋_GB2312" w:eastAsia="仿宋_GB2312" w:cs="仿宋_GB2312"/>
                <w:sz w:val="28"/>
                <w:szCs w:val="28"/>
                <w:highlight w:val="none"/>
                <w:lang w:eastAsia="zh-Hans"/>
              </w:rPr>
              <w:t>及</w:t>
            </w:r>
            <w:r>
              <w:rPr>
                <w:rFonts w:hint="eastAsia" w:ascii="仿宋_GB2312" w:hAnsi="仿宋_GB2312" w:eastAsia="仿宋_GB2312" w:cs="仿宋_GB2312"/>
                <w:sz w:val="28"/>
                <w:szCs w:val="28"/>
                <w:highlight w:val="none"/>
              </w:rPr>
              <w:t>解决办法；配合建设方提请施工相关报批手续；各投标文件横向比较，优秀的得4.2-6分；良好的2.1-4.2分；一般的得0-2.1分。</w:t>
            </w:r>
          </w:p>
        </w:tc>
        <w:tc>
          <w:tcPr>
            <w:tcW w:w="904" w:type="dxa"/>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资源配置计划</w:t>
            </w:r>
          </w:p>
        </w:tc>
        <w:tc>
          <w:tcPr>
            <w:tcW w:w="6998" w:type="dxa"/>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各专业工种的配置和劳动力的投入是否能满足工程的需要；施工机具和检验仪器的投入是否能够满足</w:t>
            </w:r>
            <w:r>
              <w:rPr>
                <w:rFonts w:hint="eastAsia" w:ascii="仿宋_GB2312" w:hAnsi="仿宋_GB2312" w:eastAsia="仿宋_GB2312" w:cs="仿宋_GB2312"/>
                <w:sz w:val="28"/>
                <w:szCs w:val="28"/>
                <w:highlight w:val="none"/>
                <w:lang w:eastAsia="zh-Hans"/>
              </w:rPr>
              <w:t>本项目需要</w:t>
            </w:r>
            <w:r>
              <w:rPr>
                <w:rFonts w:hint="eastAsia" w:ascii="仿宋_GB2312" w:hAnsi="仿宋_GB2312" w:eastAsia="仿宋_GB2312" w:cs="仿宋_GB2312"/>
                <w:sz w:val="28"/>
                <w:szCs w:val="28"/>
                <w:highlight w:val="none"/>
              </w:rPr>
              <w:t>；各投标文件横向比较，优秀的得4.2-6分；良好的2.1-4.2分；一般的得0-2.1分。</w:t>
            </w:r>
          </w:p>
        </w:tc>
        <w:tc>
          <w:tcPr>
            <w:tcW w:w="904" w:type="dxa"/>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53"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设备材料</w:t>
            </w:r>
          </w:p>
        </w:tc>
        <w:tc>
          <w:tcPr>
            <w:tcW w:w="699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投标人所使用的主要设备材料，根据投标人提供的证明文件进行综合打分，优秀的得2.8-4分；良好的1.4-2.8分；一般的得0-1.4分。</w:t>
            </w:r>
          </w:p>
        </w:tc>
        <w:tc>
          <w:tcPr>
            <w:tcW w:w="904" w:type="dxa"/>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0-4</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2.投标文件的商务报价评审(</w:t>
      </w:r>
      <w:r>
        <w:rPr>
          <w:rFonts w:hint="eastAsia" w:ascii="仿宋_GB2312" w:hAnsi="仿宋_GB2312" w:eastAsia="仿宋_GB2312" w:cs="仿宋_GB2312"/>
          <w:b/>
          <w:sz w:val="28"/>
          <w:szCs w:val="28"/>
          <w:highlight w:val="none"/>
          <w:u w:val="single"/>
        </w:rPr>
        <w:t xml:space="preserve"> 60 </w:t>
      </w:r>
      <w:r>
        <w:rPr>
          <w:rFonts w:hint="eastAsia" w:ascii="仿宋_GB2312" w:hAnsi="仿宋_GB2312" w:eastAsia="仿宋_GB2312" w:cs="仿宋_GB2312"/>
          <w:b/>
          <w:sz w:val="28"/>
          <w:szCs w:val="28"/>
          <w:highlight w:val="none"/>
        </w:rPr>
        <w:t>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(2)投标报价</w:t>
      </w:r>
      <w:r>
        <w:rPr>
          <w:rFonts w:hint="eastAsia" w:ascii="仿宋_GB2312" w:hAnsi="仿宋_GB2312" w:eastAsia="仿宋_GB2312" w:cs="仿宋_GB2312"/>
          <w:b/>
          <w:bCs/>
          <w:sz w:val="28"/>
          <w:szCs w:val="28"/>
          <w:highlight w:val="none"/>
        </w:rPr>
        <w:t>扣除税金(按投标函承诺的增值税税率扣减)</w:t>
      </w:r>
      <w:r>
        <w:rPr>
          <w:rFonts w:hint="eastAsia" w:ascii="仿宋_GB2312" w:hAnsi="仿宋_GB2312" w:eastAsia="仿宋_GB2312" w:cs="仿宋_GB2312"/>
          <w:sz w:val="28"/>
          <w:szCs w:val="28"/>
          <w:highlight w:val="none"/>
        </w:rPr>
        <w:t>后为评标价(即不含税价)。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(3)评标基准价由评标委员会依据下述方法计算，除计算差错外，确认后的评标基准价在本次招标期间保持不变。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评分范围：通过符合性审查的所有投标文件进入评分范围(下称有效评标价)。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(6)评标基准价：报价平均值与有效评标价中的次低评标价(不足4个的与最低评标价)的算术平均值为评标基准价。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(7)根据投标文件的有效评标价与评标基准价对比，计算投标人的商务报价的得分值。即：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a.有效评标价等于评标基准价时，得满分；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b.有效评标价每低于评标基准价1个百分点，扣0.5分；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c.有效评标价每高于评标基准价1个百分点，扣1分。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以上报价得分不足一个百分点时，使用直线插入法计算，保留小数2位。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投标文件的商务标评分不足30分的，计为30分。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3.投标文件的综合得分：每个投标人综合得分=技术分+商务分。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4.对投标人进行排序，推荐中标候选人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评标委员会根据综合得分对进入评分范围的投标文件按综合得分由高到低进行排序，综合得分相同时，评标价低者优先；综合得分、评标价均相同时，由评标委员会通过抽签(或记名投票表决)方式排序。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五、完成评标报告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(一)评标委员会应当向招标人提交书面评标报告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(二)评标报告应包括以下内容：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1、开标记录；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2、评标内容、过程和结果；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3、询标澄清纪要(若有)；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4、否决投标情况说明及依据；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5、推荐中标候选人；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6、其他建议。</w:t>
      </w:r>
    </w:p>
    <w:p>
      <w:pPr>
        <w:pStyle w:val="13"/>
        <w:keepNext w:val="0"/>
        <w:keepLines w:val="0"/>
        <w:pageBreakBefore/>
        <w:widowControl w:val="0"/>
        <w:kinsoku/>
        <w:wordWrap/>
        <w:overflowPunct/>
        <w:topLinePunct w:val="0"/>
        <w:autoSpaceDE/>
        <w:autoSpaceDN/>
        <w:bidi w:val="0"/>
        <w:adjustRightInd/>
        <w:snapToGrid/>
        <w:spacing w:before="0" w:after="0" w:line="360" w:lineRule="atLeast"/>
        <w:ind w:left="0" w:leftChars="0" w:right="0" w:rightChars="0" w:firstLine="0" w:firstLineChars="0"/>
        <w:jc w:val="center"/>
        <w:textAlignment w:val="auto"/>
        <w:outlineLvl w:val="0"/>
        <w:rPr>
          <w:rFonts w:ascii="宋体" w:hAnsi="宋体" w:cs="宋体"/>
          <w:sz w:val="28"/>
          <w:szCs w:val="20"/>
        </w:rPr>
      </w:pPr>
      <w:bookmarkStart w:id="12" w:name="_Toc139785991"/>
      <w:bookmarkStart w:id="13" w:name="_Toc20910"/>
      <w:r>
        <w:rPr>
          <w:rFonts w:hint="eastAsia"/>
        </w:rPr>
        <w:t>第三章</w:t>
      </w:r>
      <w:r>
        <w:t xml:space="preserve"> </w:t>
      </w:r>
      <w:r>
        <w:rPr>
          <w:rFonts w:hint="eastAsia"/>
        </w:rPr>
        <w:t>合同条款及格式</w:t>
      </w:r>
      <w:bookmarkEnd w:id="12"/>
      <w:bookmarkEnd w:id="13"/>
      <w:bookmarkStart w:id="14" w:name="_Toc448097405"/>
    </w:p>
    <w:bookmarkEnd w:id="14"/>
    <w:p>
      <w:pPr>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bCs/>
          <w:sz w:val="28"/>
          <w:szCs w:val="28"/>
        </w:rPr>
        <w:t>合同编号：【        】</w:t>
      </w: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杭州萧山国际机场T3航站楼值机岛开包间</w:t>
      </w:r>
      <w:r>
        <w:rPr>
          <w:rFonts w:hint="eastAsia" w:ascii="黑体" w:hAnsi="黑体" w:eastAsia="黑体" w:cs="黑体"/>
          <w:b/>
          <w:bCs/>
          <w:sz w:val="44"/>
          <w:szCs w:val="44"/>
          <w:lang w:eastAsia="zh-CN"/>
        </w:rPr>
        <w:t>后端增加隔断项目</w:t>
      </w:r>
      <w:r>
        <w:rPr>
          <w:rFonts w:hint="eastAsia" w:ascii="黑体" w:hAnsi="黑体" w:eastAsia="黑体" w:cs="黑体"/>
          <w:b/>
          <w:bCs/>
          <w:sz w:val="44"/>
          <w:szCs w:val="44"/>
        </w:rPr>
        <w:t>施工合同</w:t>
      </w: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jc w:val="center"/>
        <w:rPr>
          <w:rFonts w:ascii="黑体" w:hAnsi="黑体" w:eastAsia="黑体" w:cs="黑体"/>
          <w:b/>
          <w:bCs/>
          <w:sz w:val="32"/>
          <w:szCs w:val="44"/>
        </w:rPr>
      </w:pPr>
      <w:r>
        <w:rPr>
          <w:rFonts w:hint="eastAsia" w:ascii="黑体" w:hAnsi="黑体" w:eastAsia="黑体" w:cs="黑体"/>
          <w:b/>
          <w:bCs/>
          <w:sz w:val="32"/>
          <w:szCs w:val="44"/>
        </w:rPr>
        <w:t>【 】年【 】月【 】日</w:t>
      </w:r>
    </w:p>
    <w:p>
      <w:pPr>
        <w:keepNext w:val="0"/>
        <w:keepLines w:val="0"/>
        <w:pageBreakBefore/>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 xml:space="preserve">甲方（发包人）： </w:t>
      </w:r>
      <w:r>
        <w:rPr>
          <w:rFonts w:hint="eastAsia" w:ascii="黑体" w:hAnsi="黑体" w:eastAsia="黑体" w:cs="黑体"/>
          <w:b w:val="0"/>
          <w:bCs/>
          <w:color w:val="000000"/>
          <w:sz w:val="32"/>
          <w:szCs w:val="32"/>
          <w:lang w:val="en-US" w:eastAsia="zh-CN"/>
        </w:rPr>
        <w:t>杭州萧山国际机场有限公司</w:t>
      </w:r>
    </w:p>
    <w:p>
      <w:pPr>
        <w:keepNext w:val="0"/>
        <w:keepLines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住所地：</w:t>
      </w:r>
      <w:r>
        <w:rPr>
          <w:rFonts w:hint="eastAsia" w:ascii="黑体" w:hAnsi="黑体" w:eastAsia="黑体" w:cs="黑体"/>
          <w:b w:val="0"/>
          <w:bCs/>
          <w:color w:val="000000"/>
          <w:sz w:val="32"/>
          <w:szCs w:val="32"/>
          <w:lang w:val="en-US" w:eastAsia="zh-CN"/>
        </w:rPr>
        <w:t>杭州萧山国际机场内</w:t>
      </w:r>
    </w:p>
    <w:p>
      <w:pPr>
        <w:keepNext w:val="0"/>
        <w:keepLines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b w:val="0"/>
          <w:bCs/>
          <w:color w:val="000000"/>
          <w:sz w:val="32"/>
          <w:szCs w:val="32"/>
        </w:rPr>
      </w:pPr>
    </w:p>
    <w:p>
      <w:pPr>
        <w:keepNext w:val="0"/>
        <w:keepLines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乙方（承包人）:</w:t>
      </w:r>
    </w:p>
    <w:p>
      <w:pPr>
        <w:keepNext w:val="0"/>
        <w:keepLines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住所地: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甲、乙双方根据《中华人民共和国民法典》、</w:t>
      </w:r>
      <w:r>
        <w:rPr>
          <w:rFonts w:hint="eastAsia" w:ascii="仿宋_GB2312" w:hAnsi="仿宋_GB2312" w:eastAsia="仿宋_GB2312" w:cs="仿宋_GB2312"/>
          <w:sz w:val="28"/>
          <w:szCs w:val="28"/>
        </w:rPr>
        <w:t>《中华人民共和国建筑法》</w:t>
      </w:r>
      <w:r>
        <w:rPr>
          <w:rFonts w:hint="eastAsia" w:ascii="仿宋_GB2312" w:hAnsi="仿宋_GB2312" w:eastAsia="仿宋_GB2312" w:cs="仿宋_GB2312"/>
          <w:color w:val="000000"/>
          <w:sz w:val="28"/>
          <w:szCs w:val="28"/>
        </w:rPr>
        <w:t>等相关法律法规，就【杭州萧山国际机场T3航站楼值机岛开包间</w:t>
      </w:r>
      <w:r>
        <w:rPr>
          <w:rFonts w:hint="eastAsia" w:ascii="仿宋_GB2312" w:hAnsi="仿宋_GB2312" w:eastAsia="仿宋_GB2312" w:cs="仿宋_GB2312"/>
          <w:color w:val="000000"/>
          <w:sz w:val="28"/>
          <w:szCs w:val="28"/>
          <w:lang w:eastAsia="zh-CN"/>
        </w:rPr>
        <w:t>后端增加隔断项目</w:t>
      </w:r>
      <w:r>
        <w:rPr>
          <w:rFonts w:hint="eastAsia" w:ascii="仿宋_GB2312" w:hAnsi="仿宋_GB2312" w:eastAsia="仿宋_GB2312" w:cs="仿宋_GB2312"/>
          <w:color w:val="000000"/>
          <w:sz w:val="28"/>
          <w:szCs w:val="28"/>
        </w:rPr>
        <w:t>】施工事宜，在自愿、平等、互利的原则基础上，经协商一致，特签订本合同，以共同遵守。</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1.1工程名称：【杭州萧山国际机场T3航站楼值机岛开包间</w:t>
      </w:r>
      <w:r>
        <w:rPr>
          <w:rFonts w:hint="eastAsia" w:ascii="仿宋_GB2312" w:hAnsi="仿宋_GB2312" w:eastAsia="仿宋_GB2312" w:cs="仿宋_GB2312"/>
          <w:sz w:val="28"/>
          <w:szCs w:val="28"/>
          <w:lang w:eastAsia="zh-CN"/>
        </w:rPr>
        <w:t>后端增加隔断项目</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1.3工程内容：【</w:t>
      </w:r>
      <w:r>
        <w:rPr>
          <w:rFonts w:hint="eastAsia" w:ascii="仿宋_GB2312" w:hAnsi="仿宋_GB2312" w:eastAsia="仿宋_GB2312" w:cs="仿宋_GB2312"/>
          <w:sz w:val="28"/>
          <w:szCs w:val="28"/>
          <w:lang w:val="en-US" w:eastAsia="zh-CN"/>
        </w:rPr>
        <w:t>增加</w:t>
      </w:r>
      <w:r>
        <w:rPr>
          <w:rFonts w:hint="eastAsia" w:ascii="仿宋_GB2312" w:hAnsi="仿宋_GB2312" w:eastAsia="仿宋_GB2312" w:cs="仿宋_GB2312"/>
          <w:sz w:val="28"/>
          <w:szCs w:val="28"/>
        </w:rPr>
        <w:t>T3航站楼值机岛开包间后端隔断】</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1.4承包范围和方式：【工程量清单</w:t>
      </w:r>
      <w:r>
        <w:rPr>
          <w:rFonts w:hint="eastAsia" w:ascii="仿宋_GB2312" w:hAnsi="仿宋_GB2312" w:eastAsia="仿宋_GB2312" w:cs="仿宋_GB2312"/>
          <w:sz w:val="28"/>
          <w:szCs w:val="28"/>
          <w:lang w:val="en-US" w:eastAsia="zh-CN"/>
        </w:rPr>
        <w:t>及图纸</w:t>
      </w:r>
      <w:r>
        <w:rPr>
          <w:rFonts w:hint="eastAsia" w:ascii="仿宋_GB2312" w:hAnsi="仿宋_GB2312" w:eastAsia="仿宋_GB2312" w:cs="仿宋_GB2312"/>
          <w:sz w:val="28"/>
          <w:szCs w:val="28"/>
        </w:rPr>
        <w:t>范围内的所有内容，承包方式：包工包料】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1.5工期：本工程绝对工期总共为【</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1.6工程质量标准：【符合现行国家有关工程施工验收规范和标准的合格要求】</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合同价格及支付</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2.1 本合同签约合同价为人民币（大写）【 】(¥【 】元)，税率为【 】%，</w:t>
      </w:r>
      <w:r>
        <w:rPr>
          <w:rFonts w:hint="eastAsia" w:ascii="仿宋_GB2312" w:hAnsi="仿宋_GB2312" w:eastAsia="仿宋_GB2312" w:cs="仿宋_GB2312"/>
          <w:color w:val="000000"/>
          <w:sz w:val="28"/>
          <w:szCs w:val="28"/>
        </w:rPr>
        <w:t>不含税总金额为人民币【 】</w:t>
      </w:r>
      <w:r>
        <w:rPr>
          <w:rFonts w:hint="eastAsia" w:ascii="仿宋_GB2312" w:hAnsi="仿宋_GB2312" w:eastAsia="仿宋_GB2312" w:cs="仿宋_GB2312"/>
          <w:color w:val="000000"/>
          <w:sz w:val="28"/>
          <w:szCs w:val="28"/>
          <w:lang w:val="en-US" w:eastAsia="zh-CN"/>
        </w:rPr>
        <w:t>元</w:t>
      </w:r>
      <w:r>
        <w:rPr>
          <w:rFonts w:hint="eastAsia" w:ascii="仿宋_GB2312" w:hAnsi="仿宋_GB2312" w:eastAsia="仿宋_GB2312" w:cs="仿宋_GB2312"/>
          <w:color w:val="000000"/>
          <w:sz w:val="28"/>
          <w:szCs w:val="28"/>
        </w:rPr>
        <w:t>，税额为人民币【 】</w:t>
      </w:r>
      <w:r>
        <w:rPr>
          <w:rFonts w:hint="eastAsia" w:ascii="仿宋_GB2312" w:hAnsi="仿宋_GB2312" w:eastAsia="仿宋_GB2312" w:cs="仿宋_GB2312"/>
          <w:color w:val="000000"/>
          <w:sz w:val="28"/>
          <w:szCs w:val="28"/>
          <w:lang w:val="en-US" w:eastAsia="zh-CN"/>
        </w:rPr>
        <w:t>元</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本合同采用固定单价合同价格形式。</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上述签约合同总价系根据双方确定的本工程工程量清单以及综合单价计算后确定的暂定合同价格。</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本合同约定工程内容范围内综合单价不作调整，合同结算总价应根据实际工程量完成情况经第三方审计后确定。本合同综合单价已包括本工程所需的人工费、材料费、机械费、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乙方应在工程竣工验收后【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w:t>
      </w:r>
      <w:r>
        <w:rPr>
          <w:rFonts w:hint="eastAsia" w:ascii="仿宋_GB2312" w:hAnsi="仿宋_GB2312" w:eastAsia="仿宋_GB2312" w:cs="仿宋_GB2312"/>
          <w:sz w:val="28"/>
          <w:szCs w:val="28"/>
          <w:lang w:val="en-US" w:eastAsia="zh-CN"/>
        </w:rPr>
        <w:t>98.5</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 工程结算总价的【</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留作质量保证金，待缺陷责任期满，经甲方确认乙方不存在任何违约行为且质量保修不存在问题后15天内一并无息支付。缺陷责任期为自工程竣工验收合格之日起算24个月。若甲方发现乙方未完全履行质量保修责任，则甲方有权按《工程质量保修书》的约定扣除部分或全部质量保证金，且甲方不承担逾期支付的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eastAsia="zh-Hans"/>
        </w:rPr>
        <w:t>甲</w:t>
      </w:r>
      <w:r>
        <w:rPr>
          <w:rFonts w:hint="eastAsia" w:ascii="仿宋_GB2312" w:hAnsi="仿宋_GB2312" w:eastAsia="仿宋_GB2312" w:cs="仿宋_GB2312"/>
          <w:color w:val="000000"/>
          <w:sz w:val="28"/>
          <w:szCs w:val="28"/>
        </w:rPr>
        <w:t>方在支付本合同项下的任一合同价款前，乙方应提前【</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账户名称：【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纳税人识别号：【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地址：【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电话：【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开户行：【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账号：【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_GB2312" w:hAnsi="仿宋_GB2312" w:eastAsia="仿宋_GB2312" w:cs="仿宋_GB2312"/>
          <w:color w:val="000000"/>
          <w:sz w:val="28"/>
          <w:szCs w:val="28"/>
          <w:lang w:val="en-US" w:eastAsia="zh-CN"/>
        </w:rPr>
        <w:t>由</w:t>
      </w:r>
      <w:r>
        <w:rPr>
          <w:rFonts w:hint="eastAsia" w:ascii="仿宋_GB2312" w:hAnsi="仿宋_GB2312" w:eastAsia="仿宋_GB2312" w:cs="仿宋_GB2312"/>
          <w:color w:val="000000"/>
          <w:sz w:val="28"/>
          <w:szCs w:val="28"/>
        </w:rPr>
        <w:t>变更方自行承担。</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三、工程变更</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由于乙方自身原因，未按规定的时间和要求上报工程变更费用增减的书面报告和资料，或者对工程变更费用争议部分久拖不决，从而影响工程结算的，甲方将向乙方发出书面函告。发出函告</w:t>
      </w:r>
      <w:r>
        <w:rPr>
          <w:rFonts w:hint="eastAsia" w:ascii="仿宋_GB2312" w:hAnsi="仿宋_GB2312" w:eastAsia="仿宋_GB2312" w:cs="仿宋_GB2312"/>
          <w:sz w:val="28"/>
          <w:szCs w:val="28"/>
          <w:lang w:val="en-US" w:eastAsia="zh-CN"/>
        </w:rPr>
        <w:t>5个自然日</w:t>
      </w:r>
      <w:r>
        <w:rPr>
          <w:rFonts w:hint="eastAsia" w:ascii="仿宋_GB2312" w:hAnsi="仿宋_GB2312" w:eastAsia="仿宋_GB2312" w:cs="仿宋_GB2312"/>
          <w:sz w:val="28"/>
          <w:szCs w:val="28"/>
        </w:rPr>
        <w:t>后，乙方仍拒不执行的，视作乙方自动放弃权利的主张，甲方将不予结算工程变更费用或争议部分的费用。</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变更估价原则：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本合同及已标价的工程量清单或预算书中已有适用工程项目单价的，按已有的单价确定；</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 本合同及已标价的工程量清单或预算书中没有适用但有类似工程项目单价的，在合理范围内参照类似项目的单价计算确定。参照方法按下列方式处理：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①某种材料（包括半成品或成品）等级、标准发生变化的，清单组合子目不变，仅调整不同材料的价格之差。</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②清单项目某一特征或工程内容变化，不影响其他特征及工程内容价格的，其他特征组合标准不变，仅调整发生变化的组合子目价格。</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 无投标价的材料价按施工当期【</w:t>
      </w:r>
      <w:r>
        <w:rPr>
          <w:rFonts w:hint="eastAsia" w:ascii="仿宋_GB2312" w:hAnsi="仿宋_GB2312" w:eastAsia="仿宋_GB2312" w:cs="仿宋_GB2312"/>
          <w:i w:val="0"/>
          <w:iCs w:val="0"/>
          <w:sz w:val="28"/>
          <w:szCs w:val="28"/>
        </w:rPr>
        <w:t>《杭州造价信息》（正刊）萧山区、《杭州造价信息》（正刊）市区、《浙江造价信息》</w:t>
      </w:r>
      <w:r>
        <w:rPr>
          <w:rFonts w:hint="eastAsia" w:ascii="仿宋_GB2312" w:hAnsi="仿宋_GB2312" w:eastAsia="仿宋_GB2312" w:cs="仿宋_GB2312"/>
          <w:sz w:val="28"/>
          <w:szCs w:val="28"/>
        </w:rPr>
        <w:t>】的顺序执行。重新组价的单价若遇有工程造价管理机构发布的信息价缺项的，可由乙方根据变更工程资料、市场调查等取得合法依据的市场价格，提出合理的变更项目单价，并经甲方确认后调整。</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本工程结算由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四、甲方的权利和义务</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指派【 】，职务：【】作为甲方</w:t>
      </w:r>
      <w:r>
        <w:rPr>
          <w:rFonts w:hint="eastAsia" w:ascii="仿宋_GB2312" w:hAnsi="仿宋_GB2312" w:eastAsia="仿宋_GB2312" w:cs="仿宋_GB2312"/>
          <w:sz w:val="28"/>
          <w:szCs w:val="28"/>
          <w:lang w:val="en-US" w:eastAsia="zh-CN"/>
        </w:rPr>
        <w:t>项目负责人</w:t>
      </w:r>
      <w:r>
        <w:rPr>
          <w:rFonts w:hint="eastAsia" w:ascii="仿宋_GB2312" w:hAnsi="仿宋_GB2312" w:eastAsia="仿宋_GB2312" w:cs="仿宋_GB2312"/>
          <w:sz w:val="28"/>
          <w:szCs w:val="28"/>
        </w:rPr>
        <w:t>，负责合同履行；对工程质量、进度进行监督检查，办理验收、变更、登记手续和其他事宜。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 在施工开始前负责保护好周围建筑物及装修、设备管线、古树名木、绿地等不受损坏。如确实需要拆改原建筑物结构或设备管线，负责到有关部门办理相应审批手续。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 甲方有权对乙方的安全施工状况进行检查，发现有达不到安全要求或措施不得力的，应当责令乙方整改整顿，整改仍达不到要求的，甲方有权终止本合同。</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 甲方有权对乙方的施工进度进行监督、检查，协调有关部门做好现场保卫、消防、垃圾处理等工作。</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 甲方应按合同约定向乙方支付工程款项。</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五、乙方的权利和义务</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 乙方向甲方承诺按照合同约定进行施工、竣工并在质量保修期内承担工程质量保修责任。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乙方应参加甲方组织的施工图纸或作法说明的现场交底，拟定施工方案和进度计划，交甲方审定。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 乙方应参加竣工验收，并编制工程结算文件、整理项目档案移交甲方。</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 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 工程竣工未移交甲方之前，负责对现场的一切设施和工程成品进行保护，并承担风险和费用。</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本工程施工用水、用电：由甲方提供水电接口，场内接管、安装水、电表由乙方自行解决。乙方施工前需向机场水电管理部门提出申请，由甲方按以下标准向乙方收取费用：</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甲方按杭州萧山供水有限公司目前的供水含税单价4.40元/吨为基础水价，向乙方开具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甲方按每月购入电价作为基础电价，向乙方开具 13% 增值税发票收取基本电费，并在基础单价上加收10%的转供电损耗费（13%增值税发票）。在合同有效期内，如遇甲方每月购入电价调整，基础电价也作相应的调整，收费金额保留小数点后两位四舍五入。</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5.10 未经甲方书面同意，乙方不得将其承包工程全部或部分转包给他人或者肢解以后以分包的名义分别转包给他人。</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六、工期</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乙方非因甲方原因不能按期开工、竣工或中途无故停工、窝工影响工期的，工期不顺延，且乙方须向甲方承担工期延误的违约责任。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因涉及甲方要求的设计或工程量变更，或非乙方原因造成停电、停水、停气并导致停工【</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小时以上（一周内累计计算），或受不可抗力事件（指战争、动乱、或其它非甲乙双方造成的爆炸、火灾，以及风、雨、雪、震等对工程造成损害的自然灾害或疫情）影响，工期按照甲方签证确认的日期相应顺延。</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七、工程质量及验收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乙方应按甲方要求，执行国家相关的最新技术标准，严格按照施工规范验收标准等组织施工，质量达到一次性合格要求。</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主要施工材料进场应经甲方检查验收合格的，方能用于施工。由于乙方提供的材料、设备质量不合格而影响工程质量，其返工费用由乙方承担，工期不顺延。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 隐蔽工程开始前应通知甲方到场查看，经甲方签证确认后方能继续施工。</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 工程竣工后，乙方应通知甲方验收，甲方自接到验收通知【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】日内组织验收，并办理验收、档案移交以及工程结算手续。工程验收过程中发现的瑕疵，乙方应立即负责免费整改到位，整改不另增加工期和费用，因整改导致逾期完工的，乙方应承担违约责任。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 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 工程验收合格不能免除乙方的质量保修责任，如甲方发现属于乙方施工质量问题的事项，乙方仍应免费维修，否则应承担赔偿责任。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八、材料供应</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 凡由乙方采购的材料、设备，如不符合质量要求或规格有差异，应禁止使用。若已使用，对工程造成的损失由乙方负责。</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九、安全文明施工</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 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 由于乙方在施工过程中违反有关安全操作规程、消防条例，导致发生安全或火灾事故，乙方应承担由此引发的一切经济损失及相关法律责任。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 乙方逾期开工、竣工或延误工期的，每逾期一天，乙方支付甲方签约合同价的【</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】‰元作为违约金；如延误工期达到【</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】日的，甲方有权解除本合同，并要求乙方按前述标准支付违约金；本条规定的违约金不足以弥补甲方损失的，乙方应当另行向甲方承担赔偿责任。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乙方逾期向甲方提交竣工结算资料的，每逾期一天，应向甲方支付签约合同价的【</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】‰元作为违约金。</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因工程质量达不到本合同约定的质量标准导致合同目的无法实现的，甲方有权解除本合同，并要求乙方支付签约合同价的【</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】%作为违约金。</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 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 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10.7</w:t>
      </w:r>
      <w:r>
        <w:rPr>
          <w:rFonts w:hint="eastAsia" w:ascii="仿宋_GB2312" w:hAnsi="仿宋_GB2312" w:eastAsia="仿宋_GB2312" w:cs="仿宋_GB2312"/>
          <w:color w:val="000000"/>
          <w:sz w:val="28"/>
          <w:szCs w:val="28"/>
        </w:rPr>
        <w:t xml:space="preserve">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工程延误而导致的损失以及甲方为主张和实现债权而发生的律师费、诉讼费、公证费等一切成本和支出。</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十一、争议解决</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11.2当事人不愿通过协商、调解解决或者协商、调解不成时，本合同在执行中发生的争议双方同意由工程所在地人民法院诉讼解决。</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十二、不可抗力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十三、通知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发送至甲方：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电子邮件：【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地址：【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收件人：【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联系电话：【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发送至乙方：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电子邮件：【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地址：【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收件人：【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联系电话：【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13.2 如任一方变更联系方式，应按照以上方式向另一方发出书面通知，否则上述地址</w:t>
      </w:r>
      <w:r>
        <w:rPr>
          <w:rFonts w:hint="eastAsia" w:ascii="仿宋_GB2312" w:hAnsi="仿宋_GB2312" w:eastAsia="仿宋_GB2312" w:cs="仿宋_GB2312"/>
          <w:color w:val="000000"/>
          <w:sz w:val="28"/>
          <w:szCs w:val="28"/>
          <w:lang w:val="en-US" w:eastAsia="zh-CN" w:bidi="ar"/>
        </w:rPr>
        <w:t>仍</w:t>
      </w:r>
      <w:r>
        <w:rPr>
          <w:rFonts w:hint="eastAsia" w:ascii="仿宋_GB2312" w:hAnsi="仿宋_GB2312" w:eastAsia="仿宋_GB2312" w:cs="仿宋_GB2312"/>
          <w:color w:val="000000"/>
          <w:sz w:val="28"/>
          <w:szCs w:val="28"/>
          <w:lang w:bidi="ar"/>
        </w:rPr>
        <w:t>为有效送达地址。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13.4 上述地址适用于本合同项下相关司法文书的送达。</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十四、合同组成</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 本合同文件包括：（1）本合同及附件；（2）中标通知书；（3）询标纪要；（4）招标文件；（5）投标文件。如上述文件内容不一致的，按上述顺序进行解释。</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十五、合同生效及其他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 合同经双方法定代表人或授权代表签字（包含签章）并加盖单位公章或者合同章之日起生效。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 本合同未尽事宜，双方可签订补充协议予以确定。补充协议与本合同具有同等法律效力。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 本合同所订一切条款，未经双方书面确认，任何一方不得擅自变更或者修改。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 本合同一式【</w:t>
      </w:r>
      <w:r>
        <w:rPr>
          <w:rFonts w:hint="eastAsia" w:ascii="仿宋_GB2312" w:hAnsi="仿宋_GB2312" w:eastAsia="仿宋_GB2312" w:cs="仿宋_GB2312"/>
          <w:sz w:val="28"/>
          <w:szCs w:val="28"/>
          <w:lang w:val="en-US" w:eastAsia="zh-CN"/>
        </w:rPr>
        <w:t>伍</w:t>
      </w:r>
      <w:r>
        <w:rPr>
          <w:rFonts w:hint="eastAsia" w:ascii="仿宋_GB2312" w:hAnsi="仿宋_GB2312" w:eastAsia="仿宋_GB2312" w:cs="仿宋_GB2312"/>
          <w:sz w:val="28"/>
          <w:szCs w:val="28"/>
        </w:rPr>
        <w:t>】份，甲方持【</w:t>
      </w:r>
      <w:r>
        <w:rPr>
          <w:rFonts w:hint="eastAsia" w:ascii="仿宋_GB2312" w:hAnsi="仿宋_GB2312" w:eastAsia="仿宋_GB2312" w:cs="仿宋_GB2312"/>
          <w:sz w:val="28"/>
          <w:szCs w:val="28"/>
          <w:lang w:val="en-US" w:eastAsia="zh-CN"/>
        </w:rPr>
        <w:t>叁</w:t>
      </w:r>
      <w:r>
        <w:rPr>
          <w:rFonts w:hint="eastAsia" w:ascii="仿宋_GB2312" w:hAnsi="仿宋_GB2312" w:eastAsia="仿宋_GB2312" w:cs="仿宋_GB2312"/>
          <w:sz w:val="28"/>
          <w:szCs w:val="28"/>
        </w:rPr>
        <w:t>】份，乙方持【</w:t>
      </w:r>
      <w:r>
        <w:rPr>
          <w:rFonts w:hint="eastAsia" w:ascii="仿宋_GB2312" w:hAnsi="仿宋_GB2312" w:eastAsia="仿宋_GB2312" w:cs="仿宋_GB2312"/>
          <w:sz w:val="28"/>
          <w:szCs w:val="28"/>
          <w:lang w:val="en-US" w:eastAsia="zh-CN"/>
        </w:rPr>
        <w:t>贰</w:t>
      </w:r>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15.5本合同包含以下附件，附件与本合同具有同等法律效力。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：工程质量保修书</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：安全文明施工协议书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：保密承诺书</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：廉政自律承诺书</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tabs>
          <w:tab w:val="right" w:pos="8306"/>
        </w:tabs>
        <w:adjustRightInd w:val="0"/>
        <w:snapToGrid w:val="0"/>
        <w:spacing w:after="312" w:afterLines="100" w:line="300" w:lineRule="auto"/>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（本页为合同编号为【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】的建设工程施工合同的签署页）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5"/>
        <w:tblW w:w="9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甲方：</w:t>
            </w:r>
          </w:p>
        </w:tc>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地址</w:t>
            </w:r>
            <w:r>
              <w:rPr>
                <w:rFonts w:hint="eastAsia" w:ascii="黑体" w:hAnsi="黑体" w:eastAsia="黑体" w:cs="黑体"/>
                <w:sz w:val="28"/>
                <w:szCs w:val="28"/>
                <w:lang w:eastAsia="zh-CN"/>
              </w:rPr>
              <w:t>：</w:t>
            </w:r>
          </w:p>
          <w:p>
            <w:pPr>
              <w:spacing w:line="300" w:lineRule="auto"/>
              <w:rPr>
                <w:rFonts w:hint="eastAsia" w:ascii="黑体" w:hAnsi="黑体" w:eastAsia="黑体" w:cs="黑体"/>
                <w:sz w:val="28"/>
                <w:szCs w:val="28"/>
              </w:rPr>
            </w:pPr>
          </w:p>
          <w:p>
            <w:pPr>
              <w:spacing w:line="300" w:lineRule="auto"/>
              <w:rPr>
                <w:rFonts w:hint="eastAsia" w:ascii="黑体" w:hAnsi="黑体" w:eastAsia="黑体" w:cs="黑体"/>
                <w:sz w:val="28"/>
                <w:szCs w:val="28"/>
              </w:rPr>
            </w:pPr>
          </w:p>
        </w:tc>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法定代表人：</w:t>
            </w:r>
          </w:p>
        </w:tc>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 xml:space="preserve">或  </w:t>
            </w:r>
          </w:p>
        </w:tc>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授权代表</w:t>
            </w:r>
            <w:r>
              <w:rPr>
                <w:rFonts w:hint="eastAsia" w:ascii="黑体" w:hAnsi="黑体" w:eastAsia="黑体" w:cs="黑体"/>
                <w:sz w:val="28"/>
                <w:szCs w:val="28"/>
                <w:lang w:eastAsia="zh-CN"/>
              </w:rPr>
              <w:t>：</w:t>
            </w:r>
          </w:p>
          <w:p>
            <w:pPr>
              <w:spacing w:line="300" w:lineRule="auto"/>
              <w:rPr>
                <w:rFonts w:hint="eastAsia" w:ascii="黑体" w:hAnsi="黑体" w:eastAsia="黑体" w:cs="黑体"/>
                <w:sz w:val="28"/>
                <w:szCs w:val="28"/>
              </w:rPr>
            </w:pPr>
          </w:p>
          <w:p>
            <w:pPr>
              <w:spacing w:line="300" w:lineRule="auto"/>
              <w:rPr>
                <w:rFonts w:hint="eastAsia" w:ascii="黑体" w:hAnsi="黑体" w:eastAsia="黑体" w:cs="黑体"/>
                <w:sz w:val="28"/>
                <w:szCs w:val="28"/>
              </w:rPr>
            </w:pPr>
          </w:p>
        </w:tc>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签字日期：</w:t>
            </w:r>
          </w:p>
        </w:tc>
        <w:tc>
          <w:tcPr>
            <w:tcW w:w="4981" w:type="dxa"/>
          </w:tcPr>
          <w:p>
            <w:pPr>
              <w:spacing w:line="300" w:lineRule="auto"/>
              <w:rPr>
                <w:rFonts w:hint="eastAsia" w:ascii="黑体" w:hAnsi="黑体" w:eastAsia="黑体" w:cs="黑体"/>
                <w:sz w:val="28"/>
                <w:szCs w:val="28"/>
              </w:rPr>
            </w:pPr>
            <w:r>
              <w:rPr>
                <w:rFonts w:hint="eastAsia" w:ascii="黑体" w:hAnsi="黑体" w:eastAsia="黑体" w:cs="黑体"/>
                <w:sz w:val="28"/>
                <w:szCs w:val="28"/>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pStyle w:val="18"/>
        <w:keepNext w:val="0"/>
        <w:keepLines w:val="0"/>
        <w:pageBreakBefore w:val="0"/>
        <w:widowControl w:val="0"/>
        <w:tabs>
          <w:tab w:val="left" w:pos="540"/>
        </w:tabs>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w:t>
      </w:r>
    </w:p>
    <w:p>
      <w:pPr>
        <w:pStyle w:val="18"/>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工程质量保修书</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甲方（全称）：</w:t>
      </w:r>
      <w:r>
        <w:rPr>
          <w:rFonts w:hint="eastAsia" w:ascii="仿宋_GB2312" w:hAnsi="仿宋_GB2312" w:eastAsia="仿宋_GB2312" w:cs="仿宋_GB2312"/>
          <w:sz w:val="28"/>
          <w:szCs w:val="28"/>
          <w:lang w:val="en-US" w:eastAsia="zh-CN"/>
        </w:rPr>
        <w:t>杭州萧山国际机场有限公司</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甲方和乙方根据《中华人民共和国建筑法》和《建设工程质量管理条例》，经协商一致就【</w:t>
      </w:r>
      <w:r>
        <w:rPr>
          <w:rFonts w:hint="eastAsia" w:ascii="仿宋_GB2312" w:hAnsi="仿宋_GB2312" w:eastAsia="仿宋_GB2312" w:cs="仿宋_GB2312"/>
          <w:sz w:val="28"/>
          <w:szCs w:val="28"/>
          <w:lang w:val="en-US" w:eastAsia="zh-CN"/>
        </w:rPr>
        <w:t>杭州萧山国际机场</w:t>
      </w:r>
      <w:r>
        <w:rPr>
          <w:rFonts w:hint="eastAsia" w:ascii="仿宋_GB2312" w:hAnsi="仿宋_GB2312" w:eastAsia="仿宋_GB2312" w:cs="仿宋_GB2312"/>
          <w:sz w:val="28"/>
          <w:szCs w:val="28"/>
        </w:rPr>
        <w:t>T3航站楼值机岛开包间</w:t>
      </w:r>
      <w:r>
        <w:rPr>
          <w:rFonts w:hint="eastAsia" w:ascii="仿宋_GB2312" w:hAnsi="仿宋_GB2312" w:eastAsia="仿宋_GB2312" w:cs="仿宋_GB2312"/>
          <w:sz w:val="28"/>
          <w:szCs w:val="28"/>
          <w:lang w:eastAsia="zh-CN"/>
        </w:rPr>
        <w:t>后端增加隔断项目</w:t>
      </w:r>
      <w:r>
        <w:rPr>
          <w:rFonts w:hint="eastAsia" w:ascii="仿宋_GB2312" w:hAnsi="仿宋_GB2312" w:eastAsia="仿宋_GB2312" w:cs="仿宋_GB2312"/>
          <w:sz w:val="28"/>
          <w:szCs w:val="28"/>
        </w:rPr>
        <w:t>】（工程全称）签订工程质量保修书。</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乙方在质量保修期内，按照有关法律规定和合同约定，承担工程质量保修责任。</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pStyle w:val="18"/>
        <w:keepNext w:val="0"/>
        <w:keepLines w:val="0"/>
        <w:pageBreakBefore w:val="0"/>
        <w:widowControl w:val="0"/>
        <w:numPr>
          <w:ilvl w:val="0"/>
          <w:numId w:val="6"/>
        </w:numPr>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地基基础工程和主体结构工程为设计文件规定的工程合理使用年限；</w:t>
      </w:r>
    </w:p>
    <w:p>
      <w:pPr>
        <w:pStyle w:val="18"/>
        <w:keepNext w:val="0"/>
        <w:keepLines w:val="0"/>
        <w:pageBreakBefore w:val="0"/>
        <w:widowControl w:val="0"/>
        <w:numPr>
          <w:ilvl w:val="0"/>
          <w:numId w:val="6"/>
        </w:numPr>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屋面防水工程、有防水要求的卫生间、房间和外墙面的防渗为【</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p>
    <w:p>
      <w:pPr>
        <w:pStyle w:val="18"/>
        <w:keepNext w:val="0"/>
        <w:keepLines w:val="0"/>
        <w:pageBreakBefore w:val="0"/>
        <w:widowControl w:val="0"/>
        <w:numPr>
          <w:ilvl w:val="0"/>
          <w:numId w:val="6"/>
        </w:numPr>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装修工程为【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p>
    <w:p>
      <w:pPr>
        <w:pStyle w:val="18"/>
        <w:keepNext w:val="0"/>
        <w:keepLines w:val="0"/>
        <w:pageBreakBefore w:val="0"/>
        <w:widowControl w:val="0"/>
        <w:numPr>
          <w:ilvl w:val="0"/>
          <w:numId w:val="6"/>
        </w:numPr>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电气管线、给排水管道、设备安装工程为【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p>
    <w:p>
      <w:pPr>
        <w:pStyle w:val="18"/>
        <w:keepNext w:val="0"/>
        <w:keepLines w:val="0"/>
        <w:pageBreakBefore w:val="0"/>
        <w:widowControl w:val="0"/>
        <w:numPr>
          <w:ilvl w:val="0"/>
          <w:numId w:val="6"/>
        </w:numPr>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供热与供冷系统为【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】个采暖期、供冷期；</w:t>
      </w:r>
    </w:p>
    <w:p>
      <w:pPr>
        <w:pStyle w:val="18"/>
        <w:keepNext w:val="0"/>
        <w:keepLines w:val="0"/>
        <w:pageBreakBefore w:val="0"/>
        <w:widowControl w:val="0"/>
        <w:numPr>
          <w:ilvl w:val="0"/>
          <w:numId w:val="6"/>
        </w:numPr>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住宅小区内的给排水设施、道路等配套工程为【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p>
    <w:p>
      <w:pPr>
        <w:pStyle w:val="18"/>
        <w:keepNext w:val="0"/>
        <w:keepLines w:val="0"/>
        <w:pageBreakBefore w:val="0"/>
        <w:widowControl w:val="0"/>
        <w:numPr>
          <w:ilvl w:val="0"/>
          <w:numId w:val="6"/>
        </w:numPr>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其他项目保修期限约定如下：【</w:t>
      </w:r>
      <w:r>
        <w:rPr>
          <w:rFonts w:hint="eastAsia" w:ascii="仿宋_GB2312" w:hAnsi="仿宋_GB2312" w:eastAsia="仿宋_GB2312" w:cs="仿宋_GB2312"/>
          <w:sz w:val="28"/>
          <w:szCs w:val="28"/>
          <w:lang w:val="en-US" w:eastAsia="zh-CN"/>
        </w:rPr>
        <w:t>本工程保修期为2年</w:t>
      </w:r>
      <w:r>
        <w:rPr>
          <w:rFonts w:hint="eastAsia" w:ascii="仿宋_GB2312" w:hAnsi="仿宋_GB2312" w:eastAsia="仿宋_GB2312" w:cs="仿宋_GB2312"/>
          <w:sz w:val="28"/>
          <w:szCs w:val="28"/>
        </w:rPr>
        <w:t>】</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pStyle w:val="18"/>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缺陷责任期</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工程缺陷责任期为24个月，缺陷责任期自工程竣工验收合格之日起计算。单位工程先于全部工程进行验收，单位工程缺陷责任期自单位工程验收合格之日起算。</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缺陷责任期届满后，经甲方确认核实，乙方不存在违约情形以及质量保修不存在问题后15天内无息支付质量保证金。</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1．属于保修范围、内容的项目，乙方应当在接到保修通知之日起【</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】天内派人至甲方现场进行维修。乙方不在约定期限内派人至甲方现场进行维修的，甲方可以自行委托他人修理。费用从质量保证金中扣除。修复部分的质保期自修复完毕之日起重新开始计算。</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2．发生紧急事故需抢修的，乙方在接到事故通知后，应当立即到达事故现场进行持续抢修直至修复。</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4．质量保修完成后，由甲方组织验收。验收不合格的，甲方有权自行委托第三方修理，全部费用由乙方承担，由甲方与第三方确认后直接从质量保证金中扣除。</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保修费用由造成质量缺陷的责任方承担；对责任方的确定产生疑问或争议的，依甲方委托的鉴定机构所出具的独立报告来确定。</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六、双方约定的其他工程质量保修事项： </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1．在乙方人员到达之前，甲方可采取适当的应急措施，费用由乙方承担。</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4．因工程质量问题发生工程维修费用或对第三人赔偿损失的，甲方通知乙方应承担的费用或损失金额，乙方应于收到通知后7日内支付甲方出具的通知书中确定的金额。</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6．工程质量保修书由甲方、乙方在工程竣工验收前共同盖章，作为本施工合同附件，其有效期限至质保期届满且甲方书面确认乙方完成全部保修工作止。</w:t>
      </w:r>
    </w:p>
    <w:p>
      <w:pPr>
        <w:pStyle w:val="18"/>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textAlignment w:val="auto"/>
        <w:outlineLvl w:val="9"/>
        <w:rPr>
          <w:rFonts w:hint="eastAsia" w:ascii="仿宋_GB2312" w:hAnsi="仿宋_GB2312" w:eastAsia="仿宋_GB2312" w:cs="仿宋_GB2312"/>
          <w:sz w:val="28"/>
          <w:szCs w:val="28"/>
        </w:rPr>
      </w:pPr>
    </w:p>
    <w:p>
      <w:pPr>
        <w:pStyle w:val="18"/>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                    乙方(公章)：          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imes New Roman" w:hAnsi="Times New Roman"/>
          <w:b/>
          <w:bCs/>
          <w:sz w:val="23"/>
          <w:szCs w:val="23"/>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w:t>
      </w:r>
      <w:r>
        <w:rPr>
          <w:rFonts w:ascii="Times New Roman" w:hAnsi="Times New Roman"/>
          <w:b/>
          <w:bCs/>
          <w:sz w:val="23"/>
          <w:szCs w:val="23"/>
        </w:rPr>
        <w:t xml:space="preserve"> </w:t>
      </w:r>
      <w:bookmarkStart w:id="15" w:name="_Hlk53481195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安全文明施工协议书</w:t>
      </w:r>
      <w:bookmarkEnd w:id="15"/>
    </w:p>
    <w:p>
      <w:pPr>
        <w:pStyle w:val="18"/>
        <w:keepNext w:val="0"/>
        <w:keepLines w:val="0"/>
        <w:pageBreakBefore w:val="0"/>
        <w:widowControl w:val="0"/>
        <w:tabs>
          <w:tab w:val="left" w:pos="426"/>
        </w:tabs>
        <w:kinsoku/>
        <w:wordWrap/>
        <w:overflowPunct/>
        <w:topLinePunct w:val="0"/>
        <w:autoSpaceDE/>
        <w:autoSpaceDN/>
        <w:bidi w:val="0"/>
        <w:snapToGrid w:val="0"/>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甲方（全称）：</w:t>
      </w:r>
      <w:r>
        <w:rPr>
          <w:rFonts w:hint="eastAsia" w:ascii="仿宋_GB2312" w:hAnsi="仿宋_GB2312" w:eastAsia="仿宋_GB2312" w:cs="仿宋_GB2312"/>
          <w:sz w:val="28"/>
          <w:szCs w:val="28"/>
          <w:lang w:val="en-US" w:eastAsia="zh-CN"/>
        </w:rPr>
        <w:t>杭州萧山国际机场有限公司</w:t>
      </w:r>
    </w:p>
    <w:p>
      <w:pPr>
        <w:pStyle w:val="18"/>
        <w:keepNext w:val="0"/>
        <w:keepLines w:val="0"/>
        <w:pageBreakBefore w:val="0"/>
        <w:widowControl w:val="0"/>
        <w:tabs>
          <w:tab w:val="left" w:pos="426"/>
        </w:tabs>
        <w:kinsoku/>
        <w:wordWrap/>
        <w:overflowPunct/>
        <w:topLinePunct w:val="0"/>
        <w:autoSpaceDE/>
        <w:autoSpaceDN/>
        <w:bidi w:val="0"/>
        <w:snapToGrid w:val="0"/>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为了保护公民人身和国家财产安全，保障机场安全、有序运行和工程施工安全，保持良好的施工、生活秩序和饮食、环境卫生，维护双方的合法利益，明确双方责任，确保</w:t>
      </w:r>
      <w:r>
        <w:rPr>
          <w:rFonts w:hint="eastAsia" w:ascii="仿宋_GB2312" w:hAnsi="仿宋_GB2312" w:eastAsia="仿宋_GB2312" w:cs="仿宋_GB2312"/>
          <w:sz w:val="28"/>
          <w:szCs w:val="28"/>
          <w:lang w:val="en-US" w:eastAsia="zh-CN"/>
        </w:rPr>
        <w:t>杭州萧山国际机场</w:t>
      </w:r>
      <w:r>
        <w:rPr>
          <w:rFonts w:hint="eastAsia" w:ascii="仿宋_GB2312" w:hAnsi="仿宋_GB2312" w:eastAsia="仿宋_GB2312" w:cs="仿宋_GB2312"/>
          <w:sz w:val="28"/>
          <w:szCs w:val="28"/>
        </w:rPr>
        <w:t>T3航站楼值机岛开包间</w:t>
      </w:r>
      <w:r>
        <w:rPr>
          <w:rFonts w:hint="eastAsia" w:ascii="仿宋_GB2312" w:hAnsi="仿宋_GB2312" w:eastAsia="仿宋_GB2312" w:cs="仿宋_GB2312"/>
          <w:sz w:val="28"/>
          <w:szCs w:val="28"/>
          <w:lang w:eastAsia="zh-CN"/>
        </w:rPr>
        <w:t>后端增加隔断项目</w:t>
      </w:r>
      <w:r>
        <w:rPr>
          <w:rFonts w:hint="eastAsia" w:ascii="仿宋_GB2312" w:hAnsi="仿宋_GB2312" w:eastAsia="仿宋_GB2312" w:cs="仿宋_GB2312"/>
          <w:sz w:val="28"/>
          <w:szCs w:val="28"/>
        </w:rPr>
        <w:t xml:space="preserve">工程建设的顺利进行。根据国家现行的有关法律、法规和安全生产规范、规程及标准，经双方协商，签订本《安全文明施工协议书》。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一、甲方对乙方实行安全目标管理，安全目标的具体内容是：</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二、甲方的权利和义务</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11、甲方联系和协调机场公安机关，督促施工单位按有关规定申报暂住登记和申领《居住证》，并协助乙方联系机场公安局商定有关工地安全保卫事宜。</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12、甲方利用施工例会等定期分析和掌握工程的治安情况，通报当前治安形势，交流工作经验，协助处理相关问题。</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13、乙方未按要求配备安全设施、设备、器材，未在限定期限内整改的，甲方有权直接购置并配足，另增加20%的管理费，费用由乙方承担。</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w:t>
      </w:r>
      <w:r>
        <w:rPr>
          <w:rFonts w:hint="eastAsia" w:ascii="仿宋_GB2312" w:hAnsi="仿宋_GB2312" w:eastAsia="仿宋_GB2312" w:cs="仿宋_GB2312"/>
          <w:sz w:val="28"/>
          <w:szCs w:val="28"/>
          <w:lang w:val="en-US" w:eastAsia="zh-CN"/>
        </w:rPr>
        <w:t>机场相关</w:t>
      </w:r>
      <w:r>
        <w:rPr>
          <w:rFonts w:hint="eastAsia" w:ascii="仿宋_GB2312" w:hAnsi="仿宋_GB2312" w:eastAsia="仿宋_GB2312" w:cs="仿宋_GB2312"/>
          <w:sz w:val="28"/>
          <w:szCs w:val="28"/>
        </w:rPr>
        <w:t>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16、甲方对乙方的临时设施（包括临时宿舍）进行统一规划和监管，完成后临时设施场地应按甲方要求恢复原状。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19、甲方应按合同约定如期支付乙方工程款。</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三、乙方的安全、文明权利和义务</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遵守《中华人民共和国安全生产法》、《中华人民共和国建筑法》、《建设工程安全管理条例》、《浙江省建筑业管理条例》、《建筑施工安全检查标准》、《杭州市建设工地职工宿舍安全使用与管理》、《</w:t>
      </w:r>
      <w:r>
        <w:rPr>
          <w:rFonts w:hint="eastAsia" w:ascii="仿宋_GB2312" w:hAnsi="仿宋_GB2312" w:eastAsia="仿宋_GB2312" w:cs="仿宋_GB2312"/>
          <w:sz w:val="28"/>
          <w:szCs w:val="28"/>
          <w:lang w:val="en-US" w:eastAsia="zh-CN"/>
        </w:rPr>
        <w:t>杭州萧山国际</w:t>
      </w:r>
      <w:r>
        <w:rPr>
          <w:rFonts w:hint="eastAsia" w:ascii="仿宋_GB2312" w:hAnsi="仿宋_GB2312" w:eastAsia="仿宋_GB2312" w:cs="仿宋_GB2312"/>
          <w:sz w:val="28"/>
          <w:szCs w:val="28"/>
        </w:rPr>
        <w:t>机场建设工程安全文明施工管理规定》和《</w:t>
      </w:r>
      <w:r>
        <w:rPr>
          <w:rFonts w:hint="eastAsia" w:ascii="仿宋_GB2312" w:hAnsi="仿宋_GB2312" w:eastAsia="仿宋_GB2312" w:cs="仿宋_GB2312"/>
          <w:sz w:val="28"/>
          <w:szCs w:val="28"/>
          <w:lang w:val="en-US" w:eastAsia="zh-CN"/>
        </w:rPr>
        <w:t>杭州萧山国际</w:t>
      </w:r>
      <w:r>
        <w:rPr>
          <w:rFonts w:hint="eastAsia" w:ascii="仿宋_GB2312" w:hAnsi="仿宋_GB2312" w:eastAsia="仿宋_GB2312" w:cs="仿宋_GB2312"/>
          <w:sz w:val="28"/>
          <w:szCs w:val="28"/>
        </w:rPr>
        <w:t>机场建设工程安全文明施工应用手册》以及其他安全文明的法律、法规，遵守机场有关安全管理的规章制度。</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20、落实施工安全责任，所涉工程依法实行总分包制的，总包单位应对施工安全负总责，以安全责任书的方式确定各分包单位的安全责任，乙方应层层签订安全责任书。</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21、乙方应开展风险管理，结合风险评估结果有针对性地制定和落实施工安全技术措施。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24、乙方必须按照甲方的规划要求搭设临时设施，并经甲方验收合格方准使用。但甲方的验收并不免除乙方对其搭设的临时设施的安全承担全部责任。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27、为保障民工合法权益，乙方还应承担以下义务：</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27.5乙方支付下属劳务单位（或施工班组）进度款之前，有义务查阅下属劳务单位（或施工班组）前期民工工资足额发放的书面材料。</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27.6乙方应制定相关约束性制度，落实措施，预防、杜绝下属劳务单位（或施工班组）无序维权事件发生。</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27.7若民工或下属劳务单位（或施工班组）维权，乙方应负相应举证义务。</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27.8一旦发生民工无序维权，乙方主要领导应当及时到场，督促下属劳务单位（或施工班组）负责人劝离民工，并积极配合甲方相关部门协调处置。</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甲方对乙方的上述工作有随时监督检查的权利，乙方应积极配合甲方的检查。</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w:t>
      </w:r>
      <w:r>
        <w:rPr>
          <w:rFonts w:hint="eastAsia" w:ascii="仿宋_GB2312" w:hAnsi="仿宋_GB2312" w:eastAsia="仿宋_GB2312" w:cs="仿宋_GB2312"/>
          <w:sz w:val="28"/>
          <w:szCs w:val="28"/>
          <w:lang w:val="en-US" w:eastAsia="zh-CN"/>
        </w:rPr>
        <w:t>杭州萧山国际</w:t>
      </w:r>
      <w:r>
        <w:rPr>
          <w:rFonts w:hint="eastAsia" w:ascii="仿宋_GB2312" w:hAnsi="仿宋_GB2312" w:eastAsia="仿宋_GB2312" w:cs="仿宋_GB2312"/>
          <w:sz w:val="28"/>
          <w:szCs w:val="28"/>
        </w:rPr>
        <w:t>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30、进入机场控制区施工的人员和车辆需由甲方派员负责引领并主动接受机场管理人员的安全检查，服从机场相关职能部门的监管，无通行证者一律不得进入。</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35、进出口大门应设立门卫，人员和车辆凭甲方制发的施工通行证进出，并接受甲方安保人员或机场公安管理人员查验。</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37、加强对施工人员的遵纪守法教育，预防“黄、毒、赌”、斗殴、偷窃等违法违纪行为的发生，主动接受甲方和机场公安机关的指导、检查、监督、考核。</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41、加强对施工人员的管理，外来人员拟居住30天以下的，应及时到机场公安机关申报暂住登记；拟居住30天以上的年满16周岁人员，应在10天内到机场公安机关申领《居住证》。</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 制定用火、用电、使用易燃易爆及危险化学物品等各项消防安全操作规程，设置消防通道、消防水源、配备必须的消防设备和灭火器材，并在重点场所重点部位设置消防警示标志。</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53、占用、挖掘道路，跨越道路架设、铺设管线以及大型机械进出机场须提前与甲方协商，征得甲方和机场公安局交警队同意，并采取防护措施和设置明显警示标志方可实施。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8"/>
        <w:keepNext w:val="0"/>
        <w:keepLines w:val="0"/>
        <w:pageBreakBefore w:val="0"/>
        <w:widowControl w:val="0"/>
        <w:kinsoku/>
        <w:wordWrap/>
        <w:overflowPunct/>
        <w:topLinePunct w:val="0"/>
        <w:autoSpaceDE/>
        <w:autoSpaceDN/>
        <w:bidi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8"/>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lang w:val="en-US" w:eastAsia="zh-CN"/>
        </w:rPr>
        <w:t>杭州萧山国际机场</w:t>
      </w:r>
      <w:r>
        <w:rPr>
          <w:rFonts w:hint="eastAsia" w:ascii="仿宋_GB2312" w:hAnsi="仿宋_GB2312" w:eastAsia="仿宋_GB2312" w:cs="仿宋_GB2312"/>
          <w:sz w:val="28"/>
          <w:szCs w:val="28"/>
          <w:u w:val="single"/>
        </w:rPr>
        <w:t>T3航站楼值机岛开包间</w:t>
      </w:r>
      <w:r>
        <w:rPr>
          <w:rFonts w:hint="eastAsia" w:ascii="仿宋_GB2312" w:hAnsi="仿宋_GB2312" w:eastAsia="仿宋_GB2312" w:cs="仿宋_GB2312"/>
          <w:sz w:val="28"/>
          <w:szCs w:val="28"/>
          <w:u w:val="single"/>
          <w:lang w:eastAsia="zh-CN"/>
        </w:rPr>
        <w:t>后端增加隔断项目</w:t>
      </w:r>
      <w:r>
        <w:rPr>
          <w:rFonts w:hint="eastAsia" w:ascii="仿宋_GB2312" w:hAnsi="仿宋_GB2312" w:eastAsia="仿宋_GB2312" w:cs="仿宋_GB2312"/>
          <w:sz w:val="28"/>
          <w:szCs w:val="28"/>
        </w:rPr>
        <w:t>施工合同》后，本协议书自甲方、乙方共同盖章后生效。</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spacing w:before="312" w:before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sz w:val="32"/>
          <w:szCs w:val="32"/>
        </w:rPr>
      </w:pPr>
      <w:bookmarkStart w:id="16" w:name="_Hlk126741364"/>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杭州萧山国际机场基建项目安全文明施工考核办法</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一、考核原则</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（四）考核与经济利益直接挂钩原则。以《安全文明施工工作联系单》确认的奖惩数额为准。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二、适用范围</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本考核办法适用于参与杭州萧山国际机场基本建设的各施工单位。与总包单位签订分包合同的分包单位纳入对总包单位的考核，不作为被考核主体。</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三、考核程序</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（四）考核最终汇总兑现。各施工项目工程结束后由动力部计算出累计收取违约金总数，从工程进度款中扣除。</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四、其它</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（一）施工项目部突破《杭州萧山国际机场安全文明施工协议书》安全控制目标内容之一的，不属于本办法考核范围，由动力部依据有关规定直接收取违约金。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（二）《违约金标准》中所称的“协议”是指杭州萧山国际机场有限公司与施工项目部签订的《杭州萧山国际机场安全文明施工协议书》及各种协议文件；“建标”是指《建筑施工安全检查标准》（JGJ59-2011）。</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（三）施工项目部收到《安全文明施工工作联系单》后，在指定期限内仍未整改到位，加倍收取违约金直至整改到位为止。</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（四）本考核办法未作规定，但已违反国家相关法律、法规和安全生产规范、规程、标准及《杭州萧山国际机场安全文明施工协议书》的行为，由动力部参照《违约金标准》相关规定收取违约金。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rPr>
      </w:pPr>
      <w:r>
        <w:rPr>
          <w:rFonts w:hint="eastAsia" w:ascii="仿宋_GB2312" w:hAnsi="仿宋_GB2312" w:eastAsia="仿宋_GB2312" w:cs="仿宋_GB2312"/>
          <w:color w:val="auto"/>
          <w:sz w:val="22"/>
          <w:szCs w:val="22"/>
          <w:highlight w:val="none"/>
        </w:rPr>
        <w:br w:type="page"/>
      </w:r>
      <w:r>
        <w:rPr>
          <w:rFonts w:hint="eastAsia" w:ascii="黑体" w:hAnsi="黑体" w:eastAsia="黑体" w:cs="黑体"/>
          <w:color w:val="auto"/>
          <w:sz w:val="28"/>
          <w:szCs w:val="28"/>
          <w:highlight w:val="none"/>
        </w:rPr>
        <w:t>基建项目安全文明施工违约金标准</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tbl>
      <w:tblPr>
        <w:tblStyle w:val="14"/>
        <w:tblW w:w="10720" w:type="dxa"/>
        <w:jc w:val="center"/>
        <w:tblLayout w:type="fixed"/>
        <w:tblCellMar>
          <w:top w:w="0" w:type="dxa"/>
          <w:left w:w="0" w:type="dxa"/>
          <w:bottom w:w="0" w:type="dxa"/>
          <w:right w:w="0" w:type="dxa"/>
        </w:tblCellMar>
      </w:tblPr>
      <w:tblGrid>
        <w:gridCol w:w="1162"/>
        <w:gridCol w:w="7013"/>
        <w:gridCol w:w="855"/>
        <w:gridCol w:w="1690"/>
      </w:tblGrid>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序列号</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       容</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扣分标准</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不停航施工</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现场不服从机场或动力部现场管理人员指挥、管理的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空防安全</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安全生产管理体制</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无故不参加动力部组织的各种安全会议、网络活动</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施工组织</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现场安全设施和措施</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现场安全管理</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施工用电</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消防安全与危险品管理</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文明施工</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70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855"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临时宿舍管理</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70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85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70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855"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283" w:hRule="atLeast"/>
          <w:jc w:val="center"/>
        </w:trPr>
        <w:tc>
          <w:tcPr>
            <w:tcW w:w="1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7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6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adjustRightInd w:val="0"/>
        <w:snapToGrid w:val="0"/>
        <w:spacing w:line="360" w:lineRule="exact"/>
        <w:ind w:firstLine="440" w:firstLineChars="200"/>
        <w:rPr>
          <w:rFonts w:ascii="宋体" w:hAnsi="宋体"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_GB2312" w:eastAsia="仿宋_GB2312" w:cs="仿宋_GB2312"/>
          <w:color w:val="auto"/>
          <w:sz w:val="28"/>
          <w:szCs w:val="28"/>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8"/>
          <w:szCs w:val="28"/>
          <w:highlight w:val="none"/>
        </w:rPr>
        <w:t>安全隐患整改通知书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基建（安）第   号</w:t>
      </w:r>
    </w:p>
    <w:tbl>
      <w:tblPr>
        <w:tblStyle w:val="14"/>
        <w:tblW w:w="9855" w:type="dxa"/>
        <w:tblInd w:w="0" w:type="dxa"/>
        <w:tblLayout w:type="fixed"/>
        <w:tblCellMar>
          <w:top w:w="0" w:type="dxa"/>
          <w:left w:w="0" w:type="dxa"/>
          <w:bottom w:w="0" w:type="dxa"/>
          <w:right w:w="0" w:type="dxa"/>
        </w:tblCellMar>
      </w:tblPr>
      <w:tblGrid>
        <w:gridCol w:w="859"/>
        <w:gridCol w:w="1393"/>
        <w:gridCol w:w="2785"/>
        <w:gridCol w:w="2295"/>
        <w:gridCol w:w="1072"/>
        <w:gridCol w:w="1451"/>
      </w:tblGrid>
      <w:tr>
        <w:tblPrEx>
          <w:tblCellMar>
            <w:top w:w="0" w:type="dxa"/>
            <w:left w:w="0" w:type="dxa"/>
            <w:bottom w:w="0" w:type="dxa"/>
            <w:right w:w="0" w:type="dxa"/>
          </w:tblCellMar>
        </w:tblPrEx>
        <w:trPr>
          <w:trHeight w:val="449" w:hRule="atLeast"/>
        </w:trPr>
        <w:tc>
          <w:tcPr>
            <w:tcW w:w="2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工程名称</w:t>
            </w:r>
          </w:p>
        </w:tc>
        <w:tc>
          <w:tcPr>
            <w:tcW w:w="2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2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责任施工项目部</w:t>
            </w:r>
          </w:p>
        </w:tc>
        <w:tc>
          <w:tcPr>
            <w:tcW w:w="252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449" w:hRule="atLeast"/>
        </w:trPr>
        <w:tc>
          <w:tcPr>
            <w:tcW w:w="2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责任监理项目部</w:t>
            </w:r>
          </w:p>
        </w:tc>
        <w:tc>
          <w:tcPr>
            <w:tcW w:w="2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2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责任人（甲方）</w:t>
            </w:r>
          </w:p>
        </w:tc>
        <w:tc>
          <w:tcPr>
            <w:tcW w:w="252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643" w:hRule="atLeast"/>
        </w:trPr>
        <w:tc>
          <w:tcPr>
            <w:tcW w:w="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417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存在的安全隐患</w:t>
            </w:r>
          </w:p>
        </w:tc>
        <w:tc>
          <w:tcPr>
            <w:tcW w:w="33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整改建议</w:t>
            </w:r>
          </w:p>
        </w:tc>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整改期限</w:t>
            </w:r>
          </w:p>
        </w:tc>
      </w:tr>
      <w:tr>
        <w:tblPrEx>
          <w:tblCellMar>
            <w:top w:w="0" w:type="dxa"/>
            <w:left w:w="0" w:type="dxa"/>
            <w:bottom w:w="0" w:type="dxa"/>
            <w:right w:w="0" w:type="dxa"/>
          </w:tblCellMar>
        </w:tblPrEx>
        <w:trPr>
          <w:trHeight w:val="1488" w:hRule="atLeast"/>
        </w:trPr>
        <w:tc>
          <w:tcPr>
            <w:tcW w:w="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417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33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421" w:hRule="atLeast"/>
        </w:trPr>
        <w:tc>
          <w:tcPr>
            <w:tcW w:w="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417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33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346" w:hRule="atLeast"/>
        </w:trPr>
        <w:tc>
          <w:tcPr>
            <w:tcW w:w="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417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33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451" w:hRule="atLeast"/>
        </w:trPr>
        <w:tc>
          <w:tcPr>
            <w:tcW w:w="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417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33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944" w:hRule="atLeast"/>
        </w:trPr>
        <w:tc>
          <w:tcPr>
            <w:tcW w:w="50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责任单位项目部（签章）：</w:t>
            </w:r>
          </w:p>
        </w:tc>
        <w:tc>
          <w:tcPr>
            <w:tcW w:w="481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检查人员（签字）：</w:t>
            </w:r>
          </w:p>
          <w:p>
            <w:pPr>
              <w:adjustRightInd w:val="0"/>
              <w:snapToGrid w:val="0"/>
              <w:spacing w:line="360" w:lineRule="exact"/>
              <w:rPr>
                <w:rFonts w:hint="eastAsia" w:ascii="仿宋_GB2312" w:hAnsi="仿宋_GB2312" w:eastAsia="仿宋_GB2312" w:cs="仿宋_GB2312"/>
                <w:color w:val="auto"/>
                <w:sz w:val="28"/>
                <w:szCs w:val="28"/>
                <w:highlight w:val="none"/>
              </w:rPr>
            </w:pPr>
          </w:p>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检查时间：</w:t>
            </w:r>
          </w:p>
        </w:tc>
      </w:tr>
      <w:tr>
        <w:tblPrEx>
          <w:tblCellMar>
            <w:top w:w="0" w:type="dxa"/>
            <w:left w:w="0" w:type="dxa"/>
            <w:bottom w:w="0" w:type="dxa"/>
            <w:right w:w="0" w:type="dxa"/>
          </w:tblCellMar>
        </w:tblPrEx>
        <w:trPr>
          <w:trHeight w:val="1915" w:hRule="atLeast"/>
        </w:trPr>
        <w:tc>
          <w:tcPr>
            <w:tcW w:w="9855"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检查部门（签章）</w:t>
            </w:r>
          </w:p>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adjustRightInd w:val="0"/>
              <w:snapToGrid w:val="0"/>
              <w:spacing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　　年　　月　　　日</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施工项目部收到本通知单后，须在指定时限内完成整改，并递交《施工安全隐患整改回复单》；2、本通知书一式三份，检查人员、责任施工项目部、责任监理项目部各持一份。3、表格中的签章是指签字或盖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color w:val="auto"/>
          <w:sz w:val="28"/>
          <w:szCs w:val="28"/>
          <w:highlight w:val="none"/>
        </w:rPr>
        <w:t>安全文明施工工作联系单（收取违约金）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基建（安）第   号</w:t>
      </w:r>
    </w:p>
    <w:tbl>
      <w:tblPr>
        <w:tblStyle w:val="14"/>
        <w:tblW w:w="9855" w:type="dxa"/>
        <w:tblInd w:w="0" w:type="dxa"/>
        <w:tblLayout w:type="fixed"/>
        <w:tblCellMar>
          <w:top w:w="0" w:type="dxa"/>
          <w:left w:w="0" w:type="dxa"/>
          <w:bottom w:w="0" w:type="dxa"/>
          <w:right w:w="0" w:type="dxa"/>
        </w:tblCellMar>
      </w:tblPr>
      <w:tblGrid>
        <w:gridCol w:w="1399"/>
        <w:gridCol w:w="534"/>
        <w:gridCol w:w="575"/>
        <w:gridCol w:w="882"/>
        <w:gridCol w:w="3186"/>
        <w:gridCol w:w="3279"/>
      </w:tblGrid>
      <w:tr>
        <w:tblPrEx>
          <w:tblCellMar>
            <w:top w:w="0" w:type="dxa"/>
            <w:left w:w="0" w:type="dxa"/>
            <w:bottom w:w="0" w:type="dxa"/>
            <w:right w:w="0" w:type="dxa"/>
          </w:tblCellMar>
        </w:tblPrEx>
        <w:trPr>
          <w:trHeight w:val="630" w:hRule="atLeast"/>
        </w:trPr>
        <w:tc>
          <w:tcPr>
            <w:tcW w:w="250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责任单位项目部</w:t>
            </w:r>
          </w:p>
        </w:tc>
        <w:tc>
          <w:tcPr>
            <w:tcW w:w="734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80" w:hRule="atLeast"/>
        </w:trPr>
        <w:tc>
          <w:tcPr>
            <w:tcW w:w="139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整改通知书编号</w:t>
            </w:r>
          </w:p>
        </w:tc>
        <w:tc>
          <w:tcPr>
            <w:tcW w:w="8456"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处   罚    标　　准　　依　　据</w:t>
            </w:r>
          </w:p>
        </w:tc>
      </w:tr>
      <w:tr>
        <w:tblPrEx>
          <w:tblCellMar>
            <w:top w:w="0" w:type="dxa"/>
            <w:left w:w="0" w:type="dxa"/>
            <w:bottom w:w="0" w:type="dxa"/>
            <w:right w:w="0" w:type="dxa"/>
          </w:tblCellMar>
        </w:tblPrEx>
        <w:trPr>
          <w:trHeight w:val="333" w:hRule="atLeast"/>
        </w:trPr>
        <w:tc>
          <w:tcPr>
            <w:tcW w:w="139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199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收取违约金数额（元）</w:t>
            </w:r>
          </w:p>
        </w:tc>
        <w:tc>
          <w:tcPr>
            <w:tcW w:w="646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未按要求整改内容描述</w:t>
            </w:r>
          </w:p>
        </w:tc>
      </w:tr>
      <w:tr>
        <w:tblPrEx>
          <w:tblCellMar>
            <w:top w:w="0" w:type="dxa"/>
            <w:left w:w="0" w:type="dxa"/>
            <w:bottom w:w="0" w:type="dxa"/>
            <w:right w:w="0" w:type="dxa"/>
          </w:tblCellMar>
        </w:tblPrEx>
        <w:trPr>
          <w:trHeight w:val="974" w:hRule="atLeast"/>
        </w:trPr>
        <w:tc>
          <w:tcPr>
            <w:tcW w:w="13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199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646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980" w:hRule="atLeast"/>
        </w:trPr>
        <w:tc>
          <w:tcPr>
            <w:tcW w:w="13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199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646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025" w:hRule="atLeast"/>
        </w:trPr>
        <w:tc>
          <w:tcPr>
            <w:tcW w:w="13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199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646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950" w:hRule="atLeast"/>
        </w:trPr>
        <w:tc>
          <w:tcPr>
            <w:tcW w:w="13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199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646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010" w:hRule="atLeast"/>
        </w:trPr>
        <w:tc>
          <w:tcPr>
            <w:tcW w:w="13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199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646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040" w:hRule="atLeast"/>
        </w:trPr>
        <w:tc>
          <w:tcPr>
            <w:tcW w:w="13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199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646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630" w:hRule="atLeast"/>
        </w:trPr>
        <w:tc>
          <w:tcPr>
            <w:tcW w:w="193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收取违约金合计（元）</w:t>
            </w:r>
          </w:p>
        </w:tc>
        <w:tc>
          <w:tcPr>
            <w:tcW w:w="145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c>
          <w:tcPr>
            <w:tcW w:w="3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检查人员</w:t>
            </w:r>
          </w:p>
        </w:tc>
        <w:tc>
          <w:tcPr>
            <w:tcW w:w="32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8"/>
                <w:szCs w:val="28"/>
                <w:highlight w:val="none"/>
              </w:rPr>
            </w:pPr>
          </w:p>
        </w:tc>
      </w:tr>
      <w:tr>
        <w:tblPrEx>
          <w:tblCellMar>
            <w:top w:w="0" w:type="dxa"/>
            <w:left w:w="0" w:type="dxa"/>
            <w:bottom w:w="0" w:type="dxa"/>
            <w:right w:w="0" w:type="dxa"/>
          </w:tblCellMar>
        </w:tblPrEx>
        <w:trPr>
          <w:trHeight w:val="1834" w:hRule="atLeast"/>
        </w:trPr>
        <w:tc>
          <w:tcPr>
            <w:tcW w:w="339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责任施工项目部（签章）</w:t>
            </w:r>
          </w:p>
        </w:tc>
        <w:tc>
          <w:tcPr>
            <w:tcW w:w="3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责任监理项目部（签章）</w:t>
            </w:r>
          </w:p>
          <w:p>
            <w:pPr>
              <w:adjustRightInd w:val="0"/>
              <w:snapToGrid w:val="0"/>
              <w:rPr>
                <w:rFonts w:hint="eastAsia" w:ascii="仿宋_GB2312" w:hAnsi="仿宋_GB2312" w:eastAsia="仿宋_GB2312" w:cs="仿宋_GB2312"/>
                <w:color w:val="auto"/>
                <w:sz w:val="28"/>
                <w:szCs w:val="28"/>
                <w:highlight w:val="none"/>
              </w:rPr>
            </w:pPr>
          </w:p>
          <w:p>
            <w:pPr>
              <w:adjustRightInd w:val="0"/>
              <w:snapToGrid w:val="0"/>
              <w:rPr>
                <w:rFonts w:hint="eastAsia" w:ascii="仿宋_GB2312" w:hAnsi="仿宋_GB2312" w:eastAsia="仿宋_GB2312" w:cs="仿宋_GB2312"/>
                <w:color w:val="auto"/>
                <w:sz w:val="28"/>
                <w:szCs w:val="28"/>
                <w:highlight w:val="none"/>
              </w:rPr>
            </w:pPr>
          </w:p>
          <w:p>
            <w:pPr>
              <w:adjustRightInd w:val="0"/>
              <w:snapToGrid w:val="0"/>
              <w:rPr>
                <w:rFonts w:hint="eastAsia" w:ascii="仿宋_GB2312" w:hAnsi="仿宋_GB2312" w:eastAsia="仿宋_GB2312" w:cs="仿宋_GB2312"/>
                <w:color w:val="auto"/>
                <w:sz w:val="28"/>
                <w:szCs w:val="28"/>
                <w:highlight w:val="none"/>
              </w:rPr>
            </w:pPr>
          </w:p>
          <w:p>
            <w:pPr>
              <w:adjustRightInd w:val="0"/>
              <w:snapToGrid w:val="0"/>
              <w:rPr>
                <w:rFonts w:hint="eastAsia" w:ascii="仿宋_GB2312" w:hAnsi="仿宋_GB2312" w:eastAsia="仿宋_GB2312" w:cs="仿宋_GB2312"/>
                <w:color w:val="auto"/>
                <w:sz w:val="28"/>
                <w:szCs w:val="28"/>
                <w:highlight w:val="none"/>
              </w:rPr>
            </w:pPr>
          </w:p>
        </w:tc>
        <w:tc>
          <w:tcPr>
            <w:tcW w:w="32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签发部门（签章）</w:t>
            </w:r>
          </w:p>
          <w:p>
            <w:pPr>
              <w:adjustRightInd w:val="0"/>
              <w:snapToGrid w:val="0"/>
              <w:rPr>
                <w:rFonts w:hint="eastAsia" w:ascii="仿宋_GB2312" w:hAnsi="仿宋_GB2312" w:eastAsia="仿宋_GB2312" w:cs="仿宋_GB2312"/>
                <w:color w:val="auto"/>
                <w:sz w:val="28"/>
                <w:szCs w:val="28"/>
                <w:highlight w:val="none"/>
              </w:rPr>
            </w:pPr>
          </w:p>
          <w:p>
            <w:pPr>
              <w:adjustRightInd w:val="0"/>
              <w:snapToGrid w:val="0"/>
              <w:rPr>
                <w:rFonts w:hint="eastAsia" w:ascii="仿宋_GB2312" w:hAnsi="仿宋_GB2312" w:eastAsia="仿宋_GB2312" w:cs="仿宋_GB2312"/>
                <w:color w:val="auto"/>
                <w:sz w:val="28"/>
                <w:szCs w:val="28"/>
                <w:highlight w:val="none"/>
              </w:rPr>
            </w:pPr>
          </w:p>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注：1、本扣分通知单一式四份，动力部、签发人、责任施工项目部和责任监理项目部各持一份。2、表格中的签章是指签字或盖章。</w:t>
      </w:r>
    </w:p>
    <w:p>
      <w:pPr>
        <w:widowControl/>
        <w:spacing w:line="240" w:lineRule="auto"/>
        <w:jc w:val="left"/>
        <w:rPr>
          <w:rFonts w:hint="eastAsia" w:ascii="仿宋_GB2312" w:hAnsi="仿宋_GB2312" w:eastAsia="仿宋_GB2312" w:cs="仿宋_GB2312"/>
          <w:b/>
          <w:bCs/>
          <w:color w:val="auto"/>
          <w:sz w:val="28"/>
          <w:szCs w:val="28"/>
          <w:highlight w:val="none"/>
        </w:rPr>
        <w:sectPr>
          <w:footerReference r:id="rId7" w:type="default"/>
          <w:pgSz w:w="11907" w:h="16840"/>
          <w:pgMar w:top="1134" w:right="1134" w:bottom="1134" w:left="1134" w:header="851" w:footer="992" w:gutter="0"/>
          <w:pgNumType w:fmt="decimal"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杭州萧山国际机场有限</w:t>
      </w:r>
      <w:r>
        <w:rPr>
          <w:rFonts w:hint="eastAsia" w:ascii="仿宋_GB2312" w:hAnsi="仿宋_GB2312" w:eastAsia="仿宋_GB2312" w:cs="仿宋_GB2312"/>
          <w:color w:val="000000"/>
          <w:sz w:val="28"/>
          <w:szCs w:val="28"/>
        </w:rPr>
        <w:t>公司（以下简称“贵司”）：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鉴于我司与贵司拟订立《</w:t>
      </w:r>
      <w:r>
        <w:rPr>
          <w:rFonts w:hint="eastAsia" w:ascii="仿宋_GB2312" w:hAnsi="仿宋_GB2312" w:eastAsia="仿宋_GB2312" w:cs="仿宋_GB2312"/>
          <w:color w:val="000000"/>
          <w:sz w:val="28"/>
          <w:szCs w:val="28"/>
          <w:lang w:val="en-US" w:eastAsia="zh-CN"/>
        </w:rPr>
        <w:t>杭州萧山国际机场</w:t>
      </w:r>
      <w:r>
        <w:rPr>
          <w:rFonts w:hint="eastAsia" w:ascii="仿宋_GB2312" w:hAnsi="仿宋_GB2312" w:eastAsia="仿宋_GB2312" w:cs="仿宋_GB2312"/>
          <w:color w:val="000000"/>
          <w:sz w:val="28"/>
          <w:szCs w:val="28"/>
        </w:rPr>
        <w:t>T3航站楼值机岛开包间</w:t>
      </w:r>
      <w:r>
        <w:rPr>
          <w:rFonts w:hint="eastAsia" w:ascii="仿宋_GB2312" w:hAnsi="仿宋_GB2312" w:eastAsia="仿宋_GB2312" w:cs="仿宋_GB2312"/>
          <w:color w:val="000000"/>
          <w:sz w:val="28"/>
          <w:szCs w:val="28"/>
          <w:lang w:eastAsia="zh-CN"/>
        </w:rPr>
        <w:t>后端增加隔断项目</w:t>
      </w:r>
      <w:r>
        <w:rPr>
          <w:rFonts w:hint="eastAsia" w:ascii="仿宋_GB2312" w:hAnsi="仿宋_GB2312" w:eastAsia="仿宋_GB2312" w:cs="仿宋_GB2312"/>
          <w:color w:val="000000"/>
          <w:sz w:val="28"/>
          <w:szCs w:val="28"/>
          <w:lang w:val="en-US" w:eastAsia="zh-CN"/>
        </w:rPr>
        <w:t>施工</w:t>
      </w:r>
      <w:r>
        <w:rPr>
          <w:rFonts w:hint="eastAsia" w:ascii="仿宋_GB2312" w:hAnsi="仿宋_GB2312" w:eastAsia="仿宋_GB2312" w:cs="仿宋_GB2312"/>
          <w:color w:val="000000"/>
          <w:sz w:val="28"/>
          <w:szCs w:val="28"/>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color w:val="000000"/>
          <w:sz w:val="28"/>
          <w:szCs w:val="28"/>
        </w:rPr>
        <w:sym w:font="Wingdings" w:char="00A8"/>
      </w:r>
      <w:r>
        <w:rPr>
          <w:rFonts w:hint="eastAsia" w:ascii="仿宋_GB2312" w:hAnsi="仿宋_GB2312" w:eastAsia="仿宋_GB2312" w:cs="仿宋_GB2312"/>
          <w:color w:val="000000"/>
          <w:sz w:val="28"/>
          <w:szCs w:val="28"/>
        </w:rPr>
        <w:t>已缴纳的履约保证金的10%；</w:t>
      </w: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000000"/>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由于本承诺书的履行或解释而产生的或与之有关的任何争议，如双方无法协商解决，应提交</w:t>
      </w:r>
      <w:r>
        <w:rPr>
          <w:rFonts w:hint="eastAsia" w:ascii="仿宋_GB2312" w:hAnsi="仿宋_GB2312" w:eastAsia="仿宋_GB2312" w:cs="仿宋_GB2312"/>
          <w:color w:val="000000"/>
          <w:sz w:val="28"/>
          <w:szCs w:val="28"/>
          <w:lang w:val="en-US" w:eastAsia="zh-CN"/>
        </w:rPr>
        <w:t>工程所在地</w:t>
      </w:r>
      <w:r>
        <w:rPr>
          <w:rFonts w:hint="eastAsia" w:ascii="仿宋_GB2312" w:hAnsi="仿宋_GB2312" w:eastAsia="仿宋_GB2312" w:cs="仿宋_GB2312"/>
          <w:color w:val="000000"/>
          <w:sz w:val="28"/>
          <w:szCs w:val="28"/>
        </w:rPr>
        <w:t>人民法院</w:t>
      </w:r>
      <w:r>
        <w:rPr>
          <w:rFonts w:hint="eastAsia" w:ascii="仿宋_GB2312" w:hAnsi="仿宋_GB2312" w:eastAsia="仿宋_GB2312" w:cs="仿宋_GB2312"/>
          <w:color w:val="000000"/>
          <w:sz w:val="28"/>
          <w:szCs w:val="28"/>
          <w:lang w:val="en-US" w:eastAsia="zh-CN"/>
        </w:rPr>
        <w:t>诉讼</w:t>
      </w:r>
      <w:r>
        <w:rPr>
          <w:rFonts w:hint="eastAsia" w:ascii="仿宋_GB2312" w:hAnsi="仿宋_GB2312" w:eastAsia="仿宋_GB2312" w:cs="仿宋_GB2312"/>
          <w:color w:val="000000"/>
          <w:sz w:val="28"/>
          <w:szCs w:val="28"/>
        </w:rPr>
        <w:t>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七、其他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法定代表人(或授权代表)签字：【</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盖章：【</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bookmarkEnd w:id="16"/>
    </w:p>
    <w:p>
      <w:pPr>
        <w:spacing w:before="156" w:beforeLines="50" w:after="156" w:afterLines="50" w:line="300" w:lineRule="auto"/>
        <w:rPr>
          <w:rFonts w:ascii="Times New Roman" w:hAnsi="Times New Roman" w:eastAsiaTheme="minorEastAsia"/>
          <w:sz w:val="23"/>
          <w:szCs w:val="23"/>
        </w:rPr>
      </w:pPr>
    </w:p>
    <w:p>
      <w:pPr>
        <w:keepNext w:val="0"/>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sz w:val="32"/>
          <w:szCs w:val="32"/>
        </w:rPr>
      </w:pPr>
      <w:bookmarkStart w:id="17" w:name="_Hlk126741385"/>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杭州萧山国际机场有限</w:t>
      </w:r>
      <w:r>
        <w:rPr>
          <w:rFonts w:hint="eastAsia" w:ascii="仿宋_GB2312" w:hAnsi="仿宋_GB2312" w:eastAsia="仿宋_GB2312" w:cs="仿宋_GB2312"/>
          <w:bCs/>
          <w:color w:val="000000"/>
          <w:sz w:val="28"/>
          <w:szCs w:val="28"/>
        </w:rPr>
        <w:t>公司（以下简称“贵司”）：</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鉴于：贵司与我司拟订立《</w:t>
      </w:r>
      <w:r>
        <w:rPr>
          <w:rFonts w:hint="eastAsia" w:ascii="仿宋_GB2312" w:hAnsi="仿宋_GB2312" w:eastAsia="仿宋_GB2312" w:cs="仿宋_GB2312"/>
          <w:color w:val="000000"/>
          <w:sz w:val="28"/>
          <w:szCs w:val="28"/>
          <w:lang w:val="en-US" w:eastAsia="zh-CN"/>
        </w:rPr>
        <w:t>杭州萧山国际机场T3航站楼值机岛开包间后端增加隔断项目施工</w:t>
      </w:r>
      <w:r>
        <w:rPr>
          <w:rFonts w:hint="eastAsia" w:ascii="仿宋_GB2312" w:hAnsi="仿宋_GB2312" w:eastAsia="仿宋_GB2312" w:cs="仿宋_GB2312"/>
          <w:color w:val="000000"/>
          <w:sz w:val="28"/>
          <w:szCs w:val="28"/>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廉政承诺</w:t>
      </w:r>
    </w:p>
    <w:p>
      <w:pPr>
        <w:pageBreakBefore w:val="0"/>
        <w:widowControl w:val="0"/>
        <w:numPr>
          <w:ilvl w:val="1"/>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我司应严格遵守国家的法律法规和党的纪律以及行业的廉政建设规定，并组织宣传，形成浓厚的反腐倡廉氛围。</w:t>
      </w:r>
    </w:p>
    <w:p>
      <w:pPr>
        <w:pageBreakBefore w:val="0"/>
        <w:widowControl w:val="0"/>
        <w:numPr>
          <w:ilvl w:val="1"/>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如贵司发现我司及我司工作人员有违反廉政规定的行为时，有义务提醒并有权利制止，必要时有权向我司上级主管部门反映或向当地纪律监察部门举报（我司纪检监察部门举报电话：【 】）。</w:t>
      </w:r>
    </w:p>
    <w:p>
      <w:pPr>
        <w:pageBreakBefore w:val="0"/>
        <w:widowControl w:val="0"/>
        <w:numPr>
          <w:ilvl w:val="1"/>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我司应建立健全廉政建设责任制，明确廉政建设管理部门，公布举报电话，严格监督并认真查处违法违纪行为。</w:t>
      </w:r>
    </w:p>
    <w:p>
      <w:pPr>
        <w:pageBreakBefore w:val="0"/>
        <w:widowControl w:val="0"/>
        <w:numPr>
          <w:ilvl w:val="1"/>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我司应从国家和集体利益出发，共同促进各合作项目的顺利进行，自觉遵守贵司相关的规章制度和现场管理规定。</w:t>
      </w:r>
    </w:p>
    <w:p>
      <w:pPr>
        <w:pageBreakBefore w:val="0"/>
        <w:widowControl w:val="0"/>
        <w:numPr>
          <w:ilvl w:val="1"/>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我司及其工作人员承诺：</w:t>
      </w:r>
    </w:p>
    <w:p>
      <w:pPr>
        <w:pageBreakBefore w:val="0"/>
        <w:widowControl w:val="0"/>
        <w:numPr>
          <w:ilvl w:val="2"/>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ageBreakBefore w:val="0"/>
        <w:widowControl w:val="0"/>
        <w:numPr>
          <w:ilvl w:val="2"/>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ageBreakBefore w:val="0"/>
        <w:widowControl w:val="0"/>
        <w:numPr>
          <w:ilvl w:val="2"/>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pageBreakBefore w:val="0"/>
        <w:widowControl w:val="0"/>
        <w:numPr>
          <w:ilvl w:val="2"/>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pageBreakBefore w:val="0"/>
        <w:widowControl w:val="0"/>
        <w:numPr>
          <w:ilvl w:val="2"/>
          <w:numId w:val="8"/>
        </w:numPr>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违约责任</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 我司工作人员违反上述约定条款的，我司应按党、政管理权限和党纪、政纪的处罚规定，给予处理；情节严重的，报请司法机关处理。</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如我司违反本承诺书项下廉洁自律承诺，贵司有权：</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2.2.1 立即取消我司投标、中标或在建项目的实施资格；</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2.2.2 扣除我司在主合同项下【</w:t>
      </w:r>
      <w:r>
        <w:rPr>
          <w:rFonts w:hint="eastAsia" w:ascii="仿宋_GB2312" w:hAnsi="仿宋_GB2312" w:eastAsia="仿宋_GB2312" w:cs="仿宋_GB2312"/>
          <w:color w:val="000000"/>
          <w:sz w:val="28"/>
          <w:szCs w:val="28"/>
        </w:rPr>
        <w:sym w:font="Wingdings" w:char="00A8"/>
      </w:r>
      <w:r>
        <w:rPr>
          <w:rFonts w:hint="eastAsia" w:ascii="仿宋_GB2312" w:hAnsi="仿宋_GB2312" w:eastAsia="仿宋_GB2312" w:cs="仿宋_GB2312"/>
          <w:color w:val="000000"/>
          <w:sz w:val="28"/>
          <w:szCs w:val="28"/>
        </w:rPr>
        <w:t>已缴纳的履约保证金的10%；</w:t>
      </w: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000000"/>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2.2.3 拒绝我司在一定时期内参与贵司其他项目或经营活动的投标、服务。</w:t>
      </w:r>
    </w:p>
    <w:p>
      <w:pPr>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争议解决</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由于本承诺书的履行或解释而产生的或与之有关的任何争议，如双方无法协商解决，应提交</w:t>
      </w:r>
      <w:r>
        <w:rPr>
          <w:rFonts w:hint="eastAsia" w:ascii="仿宋_GB2312" w:hAnsi="仿宋_GB2312" w:eastAsia="仿宋_GB2312" w:cs="仿宋_GB2312"/>
          <w:color w:val="000000"/>
          <w:sz w:val="28"/>
          <w:szCs w:val="28"/>
          <w:lang w:val="en-US" w:eastAsia="zh-CN"/>
        </w:rPr>
        <w:t>工程所在地</w:t>
      </w:r>
      <w:r>
        <w:rPr>
          <w:rFonts w:hint="eastAsia" w:ascii="仿宋_GB2312" w:hAnsi="仿宋_GB2312" w:eastAsia="仿宋_GB2312" w:cs="仿宋_GB2312"/>
          <w:color w:val="000000"/>
          <w:sz w:val="28"/>
          <w:szCs w:val="28"/>
        </w:rPr>
        <w:t>人民法院</w:t>
      </w:r>
      <w:r>
        <w:rPr>
          <w:rFonts w:hint="eastAsia" w:ascii="仿宋_GB2312" w:hAnsi="仿宋_GB2312" w:eastAsia="仿宋_GB2312" w:cs="仿宋_GB2312"/>
          <w:color w:val="000000"/>
          <w:sz w:val="28"/>
          <w:szCs w:val="28"/>
          <w:lang w:val="en-US" w:eastAsia="zh-CN"/>
        </w:rPr>
        <w:t>诉讼</w:t>
      </w:r>
      <w:r>
        <w:rPr>
          <w:rFonts w:hint="eastAsia" w:ascii="仿宋_GB2312" w:hAnsi="仿宋_GB2312" w:eastAsia="仿宋_GB2312" w:cs="仿宋_GB2312"/>
          <w:color w:val="000000"/>
          <w:sz w:val="28"/>
          <w:szCs w:val="28"/>
        </w:rPr>
        <w:t>解决。</w:t>
      </w:r>
    </w:p>
    <w:p>
      <w:pPr>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其他</w:t>
      </w:r>
    </w:p>
    <w:p>
      <w:pPr>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本承诺书经我司法定代表人或授权代表签字（包含签章）并加盖我司公章之日起生效。</w:t>
      </w:r>
    </w:p>
    <w:p>
      <w:pPr>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法定代表人(或授权代表)签字：【</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盖章：【</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bookmarkEnd w:id="17"/>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p>
    <w:p>
      <w:pPr>
        <w:pStyle w:val="13"/>
        <w:pageBreakBefore/>
        <w:numPr>
          <w:ilvl w:val="0"/>
          <w:numId w:val="9"/>
        </w:numPr>
        <w:spacing w:before="0" w:after="0" w:line="560" w:lineRule="exact"/>
        <w:rPr>
          <w:rFonts w:hint="eastAsia"/>
        </w:rPr>
      </w:pPr>
      <w:bookmarkStart w:id="18" w:name="_Toc139785992"/>
      <w:bookmarkStart w:id="19" w:name="_Toc21282"/>
      <w:r>
        <w:rPr>
          <w:rFonts w:hint="eastAsia"/>
        </w:rPr>
        <w:t>工程量清单</w:t>
      </w:r>
      <w:bookmarkEnd w:id="18"/>
      <w:bookmarkEnd w:id="19"/>
    </w:p>
    <w:p>
      <w:pPr>
        <w:rPr>
          <w:rFonts w:hint="eastAsia"/>
        </w:rPr>
      </w:pPr>
    </w:p>
    <w:tbl>
      <w:tblPr>
        <w:tblStyle w:val="14"/>
        <w:tblW w:w="98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1"/>
        <w:gridCol w:w="1200"/>
        <w:gridCol w:w="3011"/>
        <w:gridCol w:w="658"/>
        <w:gridCol w:w="1154"/>
        <w:gridCol w:w="177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9831"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仿宋_GB2312" w:hAnsi="仿宋_GB2312" w:eastAsia="仿宋_GB2312" w:cs="仿宋_GB2312"/>
                <w:b/>
                <w:i w:val="0"/>
                <w:color w:val="000000"/>
                <w:kern w:val="0"/>
                <w:sz w:val="44"/>
                <w:szCs w:val="44"/>
                <w:u w:val="none"/>
                <w:lang w:val="en-US" w:eastAsia="zh-CN" w:bidi="ar"/>
              </w:rPr>
              <w:t>杭州萧山国际机场T3航站楼值机岛开包间后端增加隔断项目参考工程量清单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9831" w:type="dxa"/>
            <w:gridSpan w:val="7"/>
            <w:shd w:val="clear" w:color="auto" w:fill="FFFFFF"/>
            <w:vAlign w:val="bottom"/>
          </w:tcPr>
          <w:p>
            <w:pPr>
              <w:keepNext w:val="0"/>
              <w:keepLines w:val="0"/>
              <w:widowControl/>
              <w:suppressLineNumbers w:val="0"/>
              <w:jc w:val="right"/>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68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序号</w:t>
            </w:r>
          </w:p>
        </w:tc>
        <w:tc>
          <w:tcPr>
            <w:tcW w:w="120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定额编号</w:t>
            </w:r>
          </w:p>
        </w:tc>
        <w:tc>
          <w:tcPr>
            <w:tcW w:w="301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名称及说明</w:t>
            </w:r>
          </w:p>
        </w:tc>
        <w:tc>
          <w:tcPr>
            <w:tcW w:w="65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单位</w:t>
            </w:r>
          </w:p>
        </w:tc>
        <w:tc>
          <w:tcPr>
            <w:tcW w:w="11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工程数量</w:t>
            </w:r>
          </w:p>
        </w:tc>
        <w:tc>
          <w:tcPr>
            <w:tcW w:w="177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综合单价(元)</w:t>
            </w:r>
          </w:p>
        </w:tc>
        <w:tc>
          <w:tcPr>
            <w:tcW w:w="135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68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20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补</w:t>
            </w:r>
          </w:p>
        </w:tc>
        <w:tc>
          <w:tcPr>
            <w:tcW w:w="301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304不锈钢围网制作安装（丝粗1.0MM网孔5.0MM）（含1*1.95米*6樘门体及配件）</w:t>
            </w:r>
          </w:p>
        </w:tc>
        <w:tc>
          <w:tcPr>
            <w:tcW w:w="65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w:t>
            </w:r>
          </w:p>
        </w:tc>
        <w:tc>
          <w:tcPr>
            <w:tcW w:w="1154"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69.480</w:t>
            </w:r>
          </w:p>
        </w:tc>
        <w:tc>
          <w:tcPr>
            <w:tcW w:w="1777"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c>
          <w:tcPr>
            <w:tcW w:w="135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8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20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补</w:t>
            </w:r>
          </w:p>
        </w:tc>
        <w:tc>
          <w:tcPr>
            <w:tcW w:w="301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40*60*1.0MM 304拉丝不锈钢管制作安装</w:t>
            </w:r>
          </w:p>
        </w:tc>
        <w:tc>
          <w:tcPr>
            <w:tcW w:w="65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m</w:t>
            </w:r>
          </w:p>
        </w:tc>
        <w:tc>
          <w:tcPr>
            <w:tcW w:w="1154"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401.280</w:t>
            </w:r>
          </w:p>
        </w:tc>
        <w:tc>
          <w:tcPr>
            <w:tcW w:w="1777"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c>
          <w:tcPr>
            <w:tcW w:w="135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68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20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补</w:t>
            </w:r>
          </w:p>
        </w:tc>
        <w:tc>
          <w:tcPr>
            <w:tcW w:w="301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25*25*1.0MM 304拉丝不锈钢管制作安装</w:t>
            </w:r>
          </w:p>
        </w:tc>
        <w:tc>
          <w:tcPr>
            <w:tcW w:w="65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m</w:t>
            </w:r>
          </w:p>
        </w:tc>
        <w:tc>
          <w:tcPr>
            <w:tcW w:w="1154"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240.960</w:t>
            </w:r>
          </w:p>
        </w:tc>
        <w:tc>
          <w:tcPr>
            <w:tcW w:w="1777"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c>
          <w:tcPr>
            <w:tcW w:w="135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68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20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补</w:t>
            </w:r>
          </w:p>
        </w:tc>
        <w:tc>
          <w:tcPr>
            <w:tcW w:w="301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登高辅助费</w:t>
            </w:r>
          </w:p>
        </w:tc>
        <w:tc>
          <w:tcPr>
            <w:tcW w:w="65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c>
          <w:tcPr>
            <w:tcW w:w="1154"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1.000</w:t>
            </w:r>
          </w:p>
        </w:tc>
        <w:tc>
          <w:tcPr>
            <w:tcW w:w="1777"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c>
          <w:tcPr>
            <w:tcW w:w="135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681" w:type="dxa"/>
            <w:tcBorders>
              <w:top w:val="single" w:color="000000" w:sz="4" w:space="0"/>
              <w:left w:val="single" w:color="000000" w:sz="4" w:space="0"/>
            </w:tcBorders>
            <w:shd w:val="clear" w:color="auto" w:fill="FFFFFF"/>
            <w:vAlign w:val="center"/>
          </w:tcPr>
          <w:p>
            <w:pPr>
              <w:jc w:val="left"/>
              <w:rPr>
                <w:rFonts w:hint="eastAsia" w:ascii="仿宋_GB2312" w:hAnsi="仿宋_GB2312" w:eastAsia="仿宋_GB2312" w:cs="仿宋_GB2312"/>
                <w:i w:val="0"/>
                <w:color w:val="000000"/>
                <w:sz w:val="28"/>
                <w:szCs w:val="28"/>
                <w:u w:val="none"/>
              </w:rPr>
            </w:pPr>
          </w:p>
        </w:tc>
        <w:tc>
          <w:tcPr>
            <w:tcW w:w="1200" w:type="dxa"/>
            <w:tcBorders>
              <w:top w:val="single" w:color="000000" w:sz="4" w:space="0"/>
              <w:left w:val="single" w:color="000000" w:sz="4" w:space="0"/>
            </w:tcBorders>
            <w:shd w:val="clear" w:color="auto" w:fill="FFFFFF"/>
            <w:vAlign w:val="center"/>
          </w:tcPr>
          <w:p>
            <w:pPr>
              <w:jc w:val="left"/>
              <w:rPr>
                <w:rFonts w:hint="eastAsia" w:ascii="仿宋_GB2312" w:hAnsi="仿宋_GB2312" w:eastAsia="仿宋_GB2312" w:cs="仿宋_GB2312"/>
                <w:i w:val="0"/>
                <w:color w:val="000000"/>
                <w:sz w:val="28"/>
                <w:szCs w:val="28"/>
                <w:u w:val="none"/>
              </w:rPr>
            </w:pPr>
          </w:p>
        </w:tc>
        <w:tc>
          <w:tcPr>
            <w:tcW w:w="301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p>
        </w:tc>
        <w:tc>
          <w:tcPr>
            <w:tcW w:w="658" w:type="dxa"/>
            <w:tcBorders>
              <w:top w:val="single" w:color="000000" w:sz="4" w:space="0"/>
              <w:left w:val="single" w:color="000000" w:sz="4" w:space="0"/>
            </w:tcBorders>
            <w:shd w:val="clear" w:color="auto" w:fill="FFFFFF"/>
            <w:vAlign w:val="center"/>
          </w:tcPr>
          <w:p>
            <w:pPr>
              <w:jc w:val="left"/>
              <w:rPr>
                <w:rFonts w:hint="eastAsia" w:ascii="仿宋_GB2312" w:hAnsi="仿宋_GB2312" w:eastAsia="仿宋_GB2312" w:cs="仿宋_GB2312"/>
                <w:i w:val="0"/>
                <w:color w:val="000000"/>
                <w:sz w:val="28"/>
                <w:szCs w:val="28"/>
                <w:u w:val="none"/>
              </w:rPr>
            </w:pPr>
          </w:p>
        </w:tc>
        <w:tc>
          <w:tcPr>
            <w:tcW w:w="1154" w:type="dxa"/>
            <w:tcBorders>
              <w:top w:val="single" w:color="000000" w:sz="4" w:space="0"/>
              <w:left w:val="single" w:color="000000" w:sz="4" w:space="0"/>
            </w:tcBorders>
            <w:shd w:val="clear" w:color="auto" w:fill="FFFFFF"/>
            <w:vAlign w:val="center"/>
          </w:tcPr>
          <w:p>
            <w:pPr>
              <w:jc w:val="right"/>
              <w:rPr>
                <w:rFonts w:hint="eastAsia" w:ascii="仿宋_GB2312" w:hAnsi="仿宋_GB2312" w:eastAsia="仿宋_GB2312" w:cs="仿宋_GB2312"/>
                <w:i w:val="0"/>
                <w:color w:val="000000"/>
                <w:sz w:val="28"/>
                <w:szCs w:val="28"/>
                <w:u w:val="none"/>
              </w:rPr>
            </w:pPr>
          </w:p>
        </w:tc>
        <w:tc>
          <w:tcPr>
            <w:tcW w:w="1777" w:type="dxa"/>
            <w:tcBorders>
              <w:top w:val="single" w:color="000000" w:sz="4" w:space="0"/>
              <w:left w:val="single" w:color="000000" w:sz="4" w:space="0"/>
            </w:tcBorders>
            <w:shd w:val="clear" w:color="auto" w:fill="FFFFFF"/>
            <w:vAlign w:val="center"/>
          </w:tcPr>
          <w:p>
            <w:pPr>
              <w:jc w:val="right"/>
              <w:rPr>
                <w:rFonts w:hint="eastAsia" w:ascii="仿宋_GB2312" w:hAnsi="仿宋_GB2312" w:eastAsia="仿宋_GB2312" w:cs="仿宋_GB2312"/>
                <w:i w:val="0"/>
                <w:color w:val="000000"/>
                <w:sz w:val="28"/>
                <w:szCs w:val="28"/>
                <w:u w:val="none"/>
              </w:rPr>
            </w:pPr>
          </w:p>
        </w:tc>
        <w:tc>
          <w:tcPr>
            <w:tcW w:w="1350" w:type="dxa"/>
            <w:tcBorders>
              <w:top w:val="single" w:color="000000" w:sz="4" w:space="0"/>
              <w:left w:val="single" w:color="000000" w:sz="4" w:space="0"/>
              <w:right w:val="single" w:color="000000" w:sz="4" w:space="0"/>
            </w:tcBorders>
            <w:shd w:val="clear" w:color="auto" w:fill="FFFFFF"/>
            <w:vAlign w:val="center"/>
          </w:tcPr>
          <w:p>
            <w:pPr>
              <w:jc w:val="right"/>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81" w:type="dxa"/>
            <w:gridSpan w:val="6"/>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135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81"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    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8"/>
                <w:szCs w:val="28"/>
                <w:u w:val="none"/>
              </w:rPr>
            </w:pPr>
          </w:p>
        </w:tc>
      </w:tr>
    </w:tbl>
    <w:p>
      <w:pPr>
        <w:numPr>
          <w:ilvl w:val="0"/>
          <w:numId w:val="0"/>
        </w:numPr>
      </w:pPr>
    </w:p>
    <w:p>
      <w:pPr>
        <w:pStyle w:val="13"/>
        <w:pageBreakBefore/>
        <w:spacing w:before="0" w:after="0" w:line="560" w:lineRule="exact"/>
        <w:rPr>
          <w:rFonts w:hint="eastAsia"/>
          <w:lang w:val="en-US" w:eastAsia="zh-CN"/>
        </w:rPr>
      </w:pPr>
      <w:bookmarkStart w:id="20" w:name="_Toc17241"/>
      <w:r>
        <w:rPr>
          <w:rFonts w:hint="eastAsia"/>
        </w:rPr>
        <w:t>第</w:t>
      </w:r>
      <w:r>
        <w:rPr>
          <w:rFonts w:hint="eastAsia"/>
          <w:lang w:val="en-US" w:eastAsia="zh-CN"/>
        </w:rPr>
        <w:t>五</w:t>
      </w:r>
      <w:r>
        <w:rPr>
          <w:rFonts w:hint="eastAsia"/>
        </w:rPr>
        <w:t xml:space="preserve">章 </w:t>
      </w:r>
      <w:r>
        <w:rPr>
          <w:rFonts w:hint="eastAsia"/>
          <w:lang w:val="en-US" w:eastAsia="zh-CN"/>
        </w:rPr>
        <w:t>图纸</w:t>
      </w:r>
      <w:bookmarkEnd w:id="20"/>
    </w:p>
    <w:p>
      <w:pPr>
        <w:ind w:left="0" w:leftChars="0" w:right="0" w:rightChars="0"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6115685" cy="8651240"/>
            <wp:effectExtent l="0" t="0" r="18415" b="16510"/>
            <wp:docPr id="2" name="图片 2" descr="T3开包间安装不锈钢网隔断示意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3开包间安装不锈钢网隔断示意图-1"/>
                    <pic:cNvPicPr>
                      <a:picLocks noChangeAspect="1"/>
                    </pic:cNvPicPr>
                  </pic:nvPicPr>
                  <pic:blipFill>
                    <a:blip r:embed="rId12"/>
                    <a:stretch>
                      <a:fillRect/>
                    </a:stretch>
                  </pic:blipFill>
                  <pic:spPr>
                    <a:xfrm>
                      <a:off x="0" y="0"/>
                      <a:ext cx="6115685" cy="8651240"/>
                    </a:xfrm>
                    <a:prstGeom prst="rect">
                      <a:avLst/>
                    </a:prstGeom>
                  </pic:spPr>
                </pic:pic>
              </a:graphicData>
            </a:graphic>
          </wp:inline>
        </w:drawing>
      </w:r>
    </w:p>
    <w:p>
      <w:pPr>
        <w:pStyle w:val="13"/>
        <w:keepNext/>
        <w:pageBreakBefore/>
        <w:spacing w:before="0" w:after="0" w:line="560" w:lineRule="exact"/>
        <w:rPr>
          <w:rFonts w:hint="eastAsia"/>
        </w:rPr>
      </w:pPr>
      <w:bookmarkStart w:id="21" w:name="_Toc17683"/>
      <w:bookmarkStart w:id="22" w:name="_Toc9774"/>
      <w:bookmarkStart w:id="23" w:name="_Toc139785993"/>
      <w:r>
        <w:rPr>
          <w:rFonts w:hint="eastAsia"/>
        </w:rPr>
        <w:t>第</w:t>
      </w:r>
      <w:r>
        <w:rPr>
          <w:rFonts w:hint="eastAsia"/>
          <w:lang w:val="en-US" w:eastAsia="zh-CN"/>
        </w:rPr>
        <w:t>六</w:t>
      </w:r>
      <w:r>
        <w:rPr>
          <w:rFonts w:hint="eastAsia"/>
        </w:rPr>
        <w:t>章</w:t>
      </w:r>
      <w:r>
        <w:t xml:space="preserve"> </w:t>
      </w:r>
      <w:r>
        <w:rPr>
          <w:rFonts w:hint="eastAsia"/>
        </w:rPr>
        <w:t>技术标准及要求</w:t>
      </w:r>
      <w:bookmarkEnd w:id="21"/>
      <w:bookmarkEnd w:id="22"/>
      <w:bookmarkEnd w:id="23"/>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招标范围：主要工作内容具体详见工程量清单</w:t>
      </w:r>
      <w:r>
        <w:rPr>
          <w:rFonts w:hint="eastAsia" w:ascii="仿宋_GB2312" w:hAnsi="仿宋_GB2312" w:eastAsia="仿宋_GB2312" w:cs="仿宋_GB2312"/>
          <w:sz w:val="28"/>
          <w:szCs w:val="28"/>
          <w:lang w:val="en-US" w:eastAsia="zh-CN"/>
        </w:rPr>
        <w:t>及图纸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1.1 依据技术文件要求，本工程项目的施工必须达到以下现行中华人民共和国及省、市、行业的一切有关法规、规范的要求，如下述标准及规范要求有出入则以较严格者为准。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1.1.1适用法律、法规名称：</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中华人民共和国建筑法</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中华人民共和国招标投标法</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建设工程质量管理条例（国务院279号令）</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bookmarkStart w:id="24" w:name="_Toc66769198"/>
      <w:r>
        <w:rPr>
          <w:rFonts w:hint="eastAsia" w:ascii="仿宋_GB2312" w:hAnsi="仿宋_GB2312" w:eastAsia="仿宋_GB2312" w:cs="仿宋_GB2312"/>
          <w:sz w:val="28"/>
          <w:szCs w:val="28"/>
        </w:rPr>
        <w:t>二、材料要求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2.1工程材料选择</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（1）设备材料选择 </w:t>
      </w:r>
    </w:p>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2)招标人推荐的品牌详见“</w:t>
      </w:r>
      <w:r>
        <w:rPr>
          <w:rFonts w:hint="eastAsia" w:ascii="仿宋_GB2312" w:hAnsi="仿宋_GB2312" w:eastAsia="仿宋_GB2312" w:cs="仿宋_GB2312"/>
          <w:sz w:val="28"/>
          <w:szCs w:val="28"/>
        </w:rPr>
        <w:t>主要材料设备推荐品牌一览表</w:t>
      </w:r>
      <w:r>
        <w:rPr>
          <w:rFonts w:hint="eastAsia" w:ascii="仿宋_GB2312" w:hAnsi="仿宋_GB2312" w:eastAsia="仿宋_GB2312" w:cs="仿宋_GB2312"/>
          <w:sz w:val="28"/>
          <w:szCs w:val="28"/>
          <w:lang w:val="zh-CN"/>
        </w:rPr>
        <w:t>”中内容。</w:t>
      </w:r>
    </w:p>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562" w:firstLineChars="200"/>
        <w:jc w:val="center"/>
        <w:textAlignment w:val="auto"/>
        <w:outlineLvl w:val="9"/>
        <w:rPr>
          <w:rFonts w:hint="eastAsia" w:ascii="仿宋_GB2312" w:hAnsi="仿宋_GB2312" w:eastAsia="仿宋_GB2312" w:cs="仿宋_GB2312"/>
          <w:b/>
          <w:sz w:val="28"/>
          <w:szCs w:val="28"/>
        </w:rPr>
      </w:pPr>
    </w:p>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562" w:firstLineChars="200"/>
        <w:jc w:val="center"/>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主要材料设备推荐品牌一览表</w:t>
      </w: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1376" w:type="dxa"/>
            <w:vAlign w:val="center"/>
          </w:tcPr>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3" w:type="dxa"/>
            <w:vAlign w:val="center"/>
          </w:tcPr>
          <w:p>
            <w:pPr>
              <w:keepNext w:val="0"/>
              <w:keepLines w:val="0"/>
              <w:pageBreakBefore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6256" w:type="dxa"/>
            <w:vAlign w:val="center"/>
          </w:tcPr>
          <w:p>
            <w:pPr>
              <w:keepNext w:val="0"/>
              <w:keepLines w:val="0"/>
              <w:pageBreakBefore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76" w:type="dxa"/>
            <w:vAlign w:val="center"/>
          </w:tcPr>
          <w:p>
            <w:pPr>
              <w:keepNext w:val="0"/>
              <w:keepLines w:val="0"/>
              <w:pageBreakBefore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223" w:type="dxa"/>
            <w:vAlign w:val="center"/>
          </w:tcPr>
          <w:p>
            <w:pPr>
              <w:keepNext w:val="0"/>
              <w:keepLines w:val="0"/>
              <w:pageBreakBefore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c>
          <w:tcPr>
            <w:tcW w:w="6256" w:type="dxa"/>
            <w:vAlign w:val="center"/>
          </w:tcPr>
          <w:p>
            <w:pPr>
              <w:keepNext w:val="0"/>
              <w:keepLines w:val="0"/>
              <w:pageBreakBefore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r>
    </w:tbl>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不锈钢围网、拉丝不锈钢钢管材料为304不锈钢；</w:t>
      </w:r>
    </w:p>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3)所用各类设备材料须经招标人认可后方可使用。</w:t>
      </w:r>
      <w:r>
        <w:rPr>
          <w:rFonts w:hint="eastAsia" w:ascii="仿宋_GB2312" w:hAnsi="仿宋_GB2312" w:eastAsia="仿宋_GB2312" w:cs="仿宋_GB2312"/>
          <w:sz w:val="28"/>
          <w:szCs w:val="28"/>
        </w:rPr>
        <w:t>投标单位主要设备材料品牌漏填或少填的，中标后由招标人在推荐品牌中选定，且报价不作调整。</w:t>
      </w:r>
    </w:p>
    <w:p>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4）所用各类设备材料都应符合设计和国家规定的相关技术规范标准要求。 </w:t>
      </w:r>
    </w:p>
    <w:p>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5）所用各类设备材料均有质量合格证书。</w:t>
      </w:r>
    </w:p>
    <w:p>
      <w:pPr>
        <w:keepNext w:val="0"/>
        <w:keepLines w:val="0"/>
        <w:pageBreakBefore w:val="0"/>
        <w:widowControl/>
        <w:tabs>
          <w:tab w:val="left" w:pos="720"/>
        </w:tabs>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6）中标人在选定品牌或制造商时应充分考虑供货等风险，若中标人选定品牌或制造商在实施时无法供货或无法正常供货，将由招标人在推荐品牌或制造商中予以指定。</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（2）设备材料的质量保证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（3）施工过程中如涉及需拆除原有材料设备（除需利旧的材料设备外），由中标人自行处理，其残值及处置相关费用，由投标人综合考虑，包含在投标报价中。</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三、施工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3.1一般要求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3.2施工准备</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中标人应在开工前依施工现场情况合理制定施工技术方案和施工组织设计，在服从招标人的安排和总进度计划要求情况下制定施工方案，并按招标人批准的施工方案组织施工。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3.3施工质量</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3.3.1工程施工质量控制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（1）为了保证工程施工质量，投标单位必须建立完善的全面质量管理体系（GB/T1900），对工程施工生产进行全过程、全方位的质量监督、检查与控制。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（2）施工阶段质量控制包括事前的各项施工准备工作质量控制，施工过程中的质量控制，以及各单项工程及整个工程项目完工后对建筑施工及安装产品质量的事后控制。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（3）依据国家及政府有关部门颁布的有关质量管理的法律、法规、标准等，严格控制施工工序质量以及检验和评定工程项目质量。</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3.3.2现场质量监督</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（1）中标人在施工过程中，必须无条件地接受招标人的检查和监督，并执行招标人发出的指令，确保工程质量符合设计要求及相关规范、标准的规定。</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（2）工程中使用的材料均应符合相应技术要求，并符合招标人的指示要求，或在现场进行检验。</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（4）招标人有权随时对下述事项发出指示：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1）在指示规定的时间内，将招标人确认不合格的任何材料从现场运走。</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2）在指示规定的时间内，中标人必须将不合格的任何工程拆除并重新施工。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（5）如果中标人在指示规定的时间内未执行上述指示时，则招标人有权雇用他人执行该项指示，所发生的有关费用由中标人负担。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（6）根据招标人的指示，中标人应按招标人认为必要的时间和方式暂停工程或其他任何部分的工作，在暂时停工期间，中标人应对工程进行必要的保护和安全保障。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3.3.3施工偏差要求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中标人需就一切有关之材料和整体结构，必须满足相应的技术标准及规范的规定。若产生施工偏差，中标人必须无条件返工，直至达到相应的技术标准及规范的规定，费用由中标人承担。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3.4检验和验收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rPr>
        <w:t>中标人应替招标人办理进入现场的手续和亲自陪同。</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3.5施工管理要求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3.5.1中标人必须服从招标人对于本工程进度、质量、安全施工等要求。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3.5.2本工程发包范围内的工程项目，一律不得分包。一经发现立即取消承包资格，作违约处理，并承担由此引起的一切经济损失。</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3.5.3中标人应严格按施工技术方案组织施工，并无条件地接受招标人对施工质量的监督和管理。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3.6主要施工技术要求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3.6.1进出场道路：投标人现场自行调查了解，所有材料不因场内外道路状况、运输线路、运距发生变化而进行调价。</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3.6.2本工程施工用水、用电：由招标人提供水电接口，场内接管、安装水、电表由中标人自行解决。中标人施工前需向机场水电管理部门提出申请，由招标人按以下标准向中标人收取费用：</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招标人按杭州萧山供水有限公司目前的供水含税单价4.40元/吨为基础水价，向中标人开具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招标人按每月购入电价作为基础电价，向中标人开具 13% 增值税发票收取基本电费，并在基础单价上加收10%的转供电损耗费（13%增值税发票）。在合同有效期内，如遇招标人每月购入电价调整，基础电价也作相应的调整，收费金额保留小数点后两位四舍五入。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3.6.4本次招标的工程需考虑以下问题：</w:t>
      </w:r>
    </w:p>
    <w:p>
      <w:pPr>
        <w:keepNext w:val="0"/>
        <w:keepLines w:val="0"/>
        <w:pageBreakBefore w:val="0"/>
        <w:numPr>
          <w:ilvl w:val="0"/>
          <w:numId w:val="10"/>
        </w:numPr>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需做好施工单位的车辆进出场及材料推放的管理工作，相关费用计入投标报价，中标后不再调整。</w:t>
      </w:r>
    </w:p>
    <w:p>
      <w:pPr>
        <w:keepNext w:val="0"/>
        <w:keepLines w:val="0"/>
        <w:pageBreakBefore w:val="0"/>
        <w:numPr>
          <w:ilvl w:val="0"/>
          <w:numId w:val="10"/>
        </w:numPr>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本工程开工时间根据招标人提供施工场地时间为准，投标人在投标时须考虑由此造成的工期延长，由此造成的费用不做变更。</w:t>
      </w:r>
    </w:p>
    <w:p>
      <w:pPr>
        <w:keepNext w:val="0"/>
        <w:keepLines w:val="0"/>
        <w:pageBreakBefore w:val="0"/>
        <w:numPr>
          <w:ilvl w:val="0"/>
          <w:numId w:val="10"/>
        </w:numPr>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本次施工区域可能存在部分障碍物需要拆除、移除，相关费用计入投标报价中，中标后不再调整。</w:t>
      </w:r>
    </w:p>
    <w:bookmarkEnd w:id="24"/>
    <w:p>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四、产品保护</w:t>
      </w:r>
    </w:p>
    <w:p>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4.1在工程现场及其周围已由其他施工单位完成和在建的建筑产品，中标人在现场施工中应负有保护责任和义务，因工程施工引起损坏，由中标人负责赔偿或修复。</w:t>
      </w:r>
    </w:p>
    <w:p>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keepNext w:val="0"/>
        <w:keepLines w:val="0"/>
        <w:pageBreakBefore w:val="0"/>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五、其他要求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keepNext w:val="0"/>
        <w:keepLines w:val="0"/>
        <w:pageBreakBefore w:val="0"/>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keepNext w:val="0"/>
        <w:keepLines w:val="0"/>
        <w:pageBreakBefore w:val="0"/>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keepNext w:val="0"/>
        <w:keepLines w:val="0"/>
        <w:pageBreakBefore w:val="0"/>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5.4发包范围外招标人提出并签证的费用由中标人在施工前提出并补充编制工料单价预算书。</w:t>
      </w:r>
    </w:p>
    <w:p>
      <w:pPr>
        <w:keepNext w:val="0"/>
        <w:keepLines w:val="0"/>
        <w:pageBreakBefore w:val="0"/>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5.5计日工单价最高限价210元/工日。</w:t>
      </w:r>
    </w:p>
    <w:p>
      <w:pPr>
        <w:keepNext w:val="0"/>
        <w:keepLines w:val="0"/>
        <w:pageBreakBefore w:val="0"/>
        <w:kinsoku/>
        <w:wordWrap/>
        <w:overflowPunct/>
        <w:topLinePunct w:val="0"/>
        <w:autoSpaceDE/>
        <w:autoSpaceDN/>
        <w:bidi w:val="0"/>
        <w:snapToGrid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5.6工程施工期间，中标人须无条件服从机场公司关于工期进度的统一安排。投标人需充分考虑机场</w:t>
      </w:r>
      <w:r>
        <w:rPr>
          <w:rFonts w:hint="eastAsia" w:ascii="仿宋_GB2312" w:hAnsi="仿宋_GB2312" w:eastAsia="仿宋_GB2312" w:cs="仿宋_GB2312"/>
          <w:b/>
          <w:sz w:val="28"/>
          <w:szCs w:val="28"/>
          <w:lang w:val="en-US" w:eastAsia="zh-CN"/>
        </w:rPr>
        <w:t>航站区</w:t>
      </w:r>
      <w:r>
        <w:rPr>
          <w:rFonts w:hint="eastAsia" w:ascii="仿宋_GB2312" w:hAnsi="仿宋_GB2312" w:eastAsia="仿宋_GB2312" w:cs="仿宋_GB2312"/>
          <w:b/>
          <w:sz w:val="28"/>
          <w:szCs w:val="28"/>
        </w:rPr>
        <w:t>内施工时间及工期的不确定性，如由于机场运行要求某些时间不得施工等或如遇长时间停工等任何突发情况，请投标人在投标时充分考虑相关费用，中标后不予增加费用。</w:t>
      </w:r>
    </w:p>
    <w:p>
      <w:pPr>
        <w:pStyle w:val="4"/>
        <w:keepNext w:val="0"/>
        <w:keepLines w:val="0"/>
        <w:pageBreakBefore w:val="0"/>
        <w:kinsoku/>
        <w:wordWrap/>
        <w:overflowPunct/>
        <w:topLinePunct w:val="0"/>
        <w:autoSpaceDE/>
        <w:autoSpaceDN/>
        <w:bidi w:val="0"/>
        <w:spacing w:line="560" w:lineRule="exact"/>
        <w:ind w:left="0" w:leftChars="0" w:right="0" w:rightChars="0" w:firstLine="562" w:firstLineChars="200"/>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5.7本项目工程位于机场</w:t>
      </w:r>
      <w:r>
        <w:rPr>
          <w:rFonts w:hint="eastAsia" w:ascii="仿宋_GB2312" w:hAnsi="仿宋_GB2312" w:eastAsia="仿宋_GB2312" w:cs="仿宋_GB2312"/>
          <w:b/>
          <w:sz w:val="28"/>
          <w:szCs w:val="28"/>
          <w:lang w:val="en-US" w:eastAsia="zh-CN"/>
        </w:rPr>
        <w:t>航站楼</w:t>
      </w:r>
      <w:r>
        <w:rPr>
          <w:rFonts w:hint="eastAsia" w:ascii="仿宋_GB2312" w:hAnsi="仿宋_GB2312" w:eastAsia="仿宋_GB2312" w:cs="仿宋_GB2312"/>
          <w:b/>
          <w:sz w:val="28"/>
          <w:szCs w:val="28"/>
        </w:rPr>
        <w:t>内，中标人必须做好防尘降噪等措施</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确保在施工阶段不影响机场正常运行，遵守机场不停航施工管理规定、施工安全条例。</w:t>
      </w:r>
    </w:p>
    <w:p>
      <w:pPr>
        <w:pStyle w:val="4"/>
        <w:keepNext w:val="0"/>
        <w:keepLines w:val="0"/>
        <w:pageBreakBefore w:val="0"/>
        <w:kinsoku/>
        <w:wordWrap/>
        <w:overflowPunct/>
        <w:topLinePunct w:val="0"/>
        <w:autoSpaceDE/>
        <w:autoSpaceDN/>
        <w:bidi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中标人须无条件配合招标人要求，施工前应征得招标人同意，不得擅自施工，如擅自施工导致的一切后果由中标人承担。</w:t>
      </w:r>
    </w:p>
    <w:p>
      <w:pPr>
        <w:keepNext w:val="0"/>
        <w:keepLines w:val="0"/>
        <w:pageBreakBefore w:val="0"/>
        <w:kinsoku/>
        <w:wordWrap/>
        <w:overflowPunct/>
        <w:topLinePunct w:val="0"/>
        <w:autoSpaceDE/>
        <w:autoSpaceDN/>
        <w:bidi w:val="0"/>
        <w:spacing w:line="560" w:lineRule="exact"/>
        <w:ind w:left="0" w:leftChars="0" w:right="0" w:rightChars="0" w:firstLine="562" w:firstLineChars="200"/>
        <w:jc w:val="left"/>
        <w:textAlignment w:val="auto"/>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项目开工前中标人需提供施工进度计划表、施工材料及明细表，待材料、人员、证件全部准备完善并经招标人同意方可进行施工。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pStyle w:val="13"/>
        <w:keepNext/>
        <w:pageBreakBefore/>
        <w:spacing w:before="0" w:after="0" w:line="560" w:lineRule="exact"/>
      </w:pPr>
      <w:bookmarkStart w:id="25" w:name="_Toc139785994"/>
      <w:bookmarkStart w:id="26" w:name="_Toc10055"/>
      <w:bookmarkStart w:id="27" w:name="_Toc52907682"/>
      <w:bookmarkStart w:id="28" w:name="_Toc28597"/>
      <w:r>
        <w:t>第</w:t>
      </w:r>
      <w:r>
        <w:rPr>
          <w:rFonts w:hint="eastAsia"/>
          <w:lang w:val="en-US" w:eastAsia="zh-CN"/>
        </w:rPr>
        <w:t>七</w:t>
      </w:r>
      <w:r>
        <w:t>章</w:t>
      </w:r>
      <w:r>
        <w:rPr>
          <w:rFonts w:hint="eastAsia"/>
        </w:rPr>
        <w:t xml:space="preserve"> </w:t>
      </w:r>
      <w:r>
        <w:t>投标文件格式</w:t>
      </w:r>
      <w:bookmarkEnd w:id="25"/>
      <w:bookmarkEnd w:id="26"/>
      <w:bookmarkEnd w:id="27"/>
      <w:bookmarkEnd w:id="28"/>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2980"/>
        </w:tabs>
        <w:autoSpaceDE w:val="0"/>
        <w:autoSpaceDN w:val="0"/>
        <w:adjustRightInd w:val="0"/>
        <w:spacing w:line="560" w:lineRule="exact"/>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line="560" w:lineRule="exact"/>
        <w:jc w:val="left"/>
        <w:rPr>
          <w:rFonts w:cs="微软雅黑"/>
          <w:kern w:val="0"/>
          <w:sz w:val="10"/>
          <w:szCs w:val="1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3780"/>
          <w:tab w:val="left" w:pos="4440"/>
          <w:tab w:val="left" w:pos="5100"/>
        </w:tabs>
        <w:autoSpaceDE w:val="0"/>
        <w:autoSpaceDN w:val="0"/>
        <w:adjustRightInd w:val="0"/>
        <w:spacing w:line="560"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4"/>
          <w:szCs w:val="24"/>
        </w:rPr>
      </w:pP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line="560" w:lineRule="exact"/>
        <w:jc w:val="left"/>
        <w:rPr>
          <w:rFonts w:cs="微软雅黑"/>
          <w:kern w:val="0"/>
          <w:sz w:val="13"/>
          <w:szCs w:val="13"/>
        </w:rPr>
      </w:pPr>
    </w:p>
    <w:p>
      <w:pPr>
        <w:tabs>
          <w:tab w:val="left" w:pos="3600"/>
          <w:tab w:val="left" w:pos="4620"/>
          <w:tab w:val="left" w:pos="5520"/>
        </w:tabs>
        <w:autoSpaceDE w:val="0"/>
        <w:autoSpaceDN w:val="0"/>
        <w:adjustRightInd w:val="0"/>
        <w:spacing w:line="560" w:lineRule="exact"/>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560" w:lineRule="exact"/>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pgNumType w:fmt="decimal"/>
          <w:cols w:space="720" w:num="1"/>
        </w:sectPr>
      </w:pPr>
    </w:p>
    <w:p>
      <w:pPr>
        <w:autoSpaceDE w:val="0"/>
        <w:autoSpaceDN w:val="0"/>
        <w:adjustRightInd w:val="0"/>
        <w:spacing w:line="560" w:lineRule="exact"/>
        <w:jc w:val="center"/>
        <w:rPr>
          <w:rFonts w:cs="微软雅黑"/>
          <w:b/>
          <w:kern w:val="0"/>
          <w:sz w:val="36"/>
          <w:szCs w:val="36"/>
        </w:rPr>
      </w:pPr>
      <w:r>
        <w:rPr>
          <w:rFonts w:cs="微软雅黑"/>
          <w:b/>
          <w:kern w:val="0"/>
          <w:sz w:val="36"/>
          <w:szCs w:val="36"/>
        </w:rPr>
        <w:t>目 录</w:t>
      </w:r>
    </w:p>
    <w:p>
      <w:pPr>
        <w:pStyle w:val="19"/>
        <w:numPr>
          <w:ilvl w:val="0"/>
          <w:numId w:val="0"/>
        </w:numPr>
        <w:tabs>
          <w:tab w:val="left" w:pos="360"/>
        </w:tabs>
        <w:autoSpaceDE w:val="0"/>
        <w:autoSpaceDN w:val="0"/>
        <w:adjustRightInd w:val="0"/>
        <w:spacing w:line="560" w:lineRule="exact"/>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一、</w:t>
      </w:r>
      <w:r>
        <w:rPr>
          <w:rFonts w:ascii="微软雅黑" w:hAnsi="Times New Roman" w:cs="微软雅黑"/>
          <w:spacing w:val="-2"/>
          <w:kern w:val="0"/>
          <w:sz w:val="22"/>
        </w:rPr>
        <w:t>投标函；</w:t>
      </w:r>
    </w:p>
    <w:p>
      <w:pPr>
        <w:pStyle w:val="19"/>
        <w:tabs>
          <w:tab w:val="left" w:pos="360"/>
        </w:tabs>
        <w:autoSpaceDE w:val="0"/>
        <w:autoSpaceDN w:val="0"/>
        <w:adjustRightInd w:val="0"/>
        <w:spacing w:line="560" w:lineRule="exact"/>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9"/>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9"/>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四、施工组织设计</w:t>
      </w:r>
      <w:r>
        <w:rPr>
          <w:rFonts w:hint="eastAsia" w:ascii="微软雅黑" w:hAnsi="Times New Roman" w:cs="微软雅黑"/>
          <w:spacing w:val="-2"/>
          <w:kern w:val="0"/>
          <w:sz w:val="22"/>
          <w:lang w:eastAsia="zh-CN"/>
        </w:rPr>
        <w:t>；</w:t>
      </w:r>
    </w:p>
    <w:p>
      <w:pPr>
        <w:pStyle w:val="19"/>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五</w:t>
      </w:r>
      <w:r>
        <w:rPr>
          <w:rFonts w:hint="eastAsia" w:ascii="微软雅黑" w:hAnsi="Times New Roman" w:cs="微软雅黑"/>
          <w:spacing w:val="-2"/>
          <w:kern w:val="0"/>
          <w:sz w:val="22"/>
        </w:rPr>
        <w:t>、</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9"/>
        <w:tabs>
          <w:tab w:val="left" w:pos="360"/>
        </w:tabs>
        <w:autoSpaceDE w:val="0"/>
        <w:autoSpaceDN w:val="0"/>
        <w:adjustRightInd w:val="0"/>
        <w:spacing w:line="560" w:lineRule="exact"/>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5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spacing w:line="360" w:lineRule="exact"/>
        <w:jc w:val="left"/>
        <w:rPr>
          <w:rFonts w:cs="微软雅黑"/>
          <w:b/>
          <w:kern w:val="0"/>
          <w:sz w:val="36"/>
          <w:szCs w:val="36"/>
        </w:rPr>
      </w:pPr>
      <w:r>
        <w:rPr>
          <w:rFonts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360" w:lineRule="exact"/>
        <w:jc w:val="left"/>
        <w:rPr>
          <w:rFonts w:cs="微软雅黑"/>
          <w:kern w:val="0"/>
          <w:sz w:val="20"/>
          <w:szCs w:val="20"/>
        </w:rPr>
      </w:pPr>
    </w:p>
    <w:p>
      <w:pPr>
        <w:spacing w:line="360" w:lineRule="exact"/>
        <w:rPr>
          <w:rFonts w:cs="Calibri"/>
          <w:szCs w:val="21"/>
          <w:u w:val="single"/>
        </w:rPr>
      </w:pPr>
      <w:r>
        <w:rPr>
          <w:rFonts w:cs="Calibri"/>
          <w:szCs w:val="21"/>
        </w:rPr>
        <w:t>投标人名称：</w:t>
      </w:r>
      <w:r>
        <w:rPr>
          <w:rFonts w:cs="Calibri"/>
          <w:szCs w:val="21"/>
          <w:u w:val="single"/>
        </w:rPr>
        <w:t xml:space="preserve">                                  </w:t>
      </w:r>
    </w:p>
    <w:p>
      <w:pPr>
        <w:spacing w:line="360" w:lineRule="exact"/>
        <w:rPr>
          <w:rFonts w:cs="Calibri"/>
          <w:szCs w:val="21"/>
          <w:u w:val="single"/>
        </w:rPr>
      </w:pPr>
      <w:r>
        <w:rPr>
          <w:rFonts w:cs="Calibri"/>
          <w:szCs w:val="21"/>
        </w:rPr>
        <w:t>单位性质：</w:t>
      </w:r>
      <w:r>
        <w:rPr>
          <w:rFonts w:cs="Calibri"/>
          <w:szCs w:val="21"/>
          <w:u w:val="single"/>
        </w:rPr>
        <w:t xml:space="preserve">                                    </w:t>
      </w:r>
    </w:p>
    <w:p>
      <w:pPr>
        <w:spacing w:line="360" w:lineRule="exact"/>
        <w:rPr>
          <w:rFonts w:cs="Calibri"/>
          <w:szCs w:val="21"/>
          <w:u w:val="single"/>
        </w:rPr>
      </w:pPr>
      <w:r>
        <w:rPr>
          <w:rFonts w:cs="Calibri"/>
          <w:szCs w:val="21"/>
        </w:rPr>
        <w:t>地址：</w:t>
      </w:r>
      <w:r>
        <w:rPr>
          <w:rFonts w:cs="Calibri"/>
          <w:szCs w:val="21"/>
          <w:u w:val="single"/>
        </w:rPr>
        <w:t xml:space="preserve">                                        </w:t>
      </w:r>
    </w:p>
    <w:p>
      <w:pPr>
        <w:spacing w:line="36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360" w:lineRule="exact"/>
        <w:rPr>
          <w:rFonts w:cs="Calibri"/>
          <w:szCs w:val="21"/>
          <w:u w:val="single"/>
        </w:rPr>
      </w:pPr>
      <w:r>
        <w:rPr>
          <w:rFonts w:cs="Calibri"/>
          <w:szCs w:val="21"/>
        </w:rPr>
        <w:t>经营期限：</w:t>
      </w:r>
      <w:r>
        <w:rPr>
          <w:rFonts w:cs="Calibri"/>
          <w:szCs w:val="21"/>
          <w:u w:val="single"/>
        </w:rPr>
        <w:t xml:space="preserve">                                     </w:t>
      </w:r>
    </w:p>
    <w:p>
      <w:pPr>
        <w:spacing w:line="36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line="360" w:lineRule="exact"/>
        <w:rPr>
          <w:rFonts w:cs="Calibri"/>
          <w:szCs w:val="21"/>
          <w:u w:val="single"/>
        </w:rPr>
      </w:pPr>
      <w:r>
        <w:rPr>
          <w:rFonts w:cs="Calibri"/>
          <w:szCs w:val="21"/>
        </w:rPr>
        <w:t>身份证号码：</w:t>
      </w:r>
      <w:r>
        <w:rPr>
          <w:rFonts w:cs="Calibri"/>
          <w:szCs w:val="21"/>
          <w:u w:val="single"/>
        </w:rPr>
        <w:t xml:space="preserve">                           </w:t>
      </w:r>
    </w:p>
    <w:p>
      <w:pPr>
        <w:spacing w:line="360" w:lineRule="exact"/>
        <w:ind w:firstLine="560"/>
        <w:rPr>
          <w:rFonts w:cs="Calibri"/>
          <w:szCs w:val="21"/>
        </w:rPr>
      </w:pPr>
    </w:p>
    <w:p>
      <w:pPr>
        <w:spacing w:line="36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360" w:lineRule="exact"/>
        <w:ind w:firstLine="560"/>
        <w:rPr>
          <w:rFonts w:cs="Calibri"/>
          <w:szCs w:val="21"/>
        </w:rPr>
      </w:pPr>
    </w:p>
    <w:p>
      <w:pPr>
        <w:spacing w:line="360" w:lineRule="exact"/>
        <w:rPr>
          <w:rFonts w:cs="Calibri"/>
          <w:szCs w:val="21"/>
        </w:rPr>
      </w:pPr>
      <w:r>
        <w:rPr>
          <w:rFonts w:cs="Calibri"/>
          <w:szCs w:val="21"/>
        </w:rPr>
        <w:t>特此证明。</w:t>
      </w:r>
    </w:p>
    <w:p>
      <w:pPr>
        <w:spacing w:line="360" w:lineRule="exact"/>
        <w:rPr>
          <w:rFonts w:cs="Calibri"/>
          <w:szCs w:val="21"/>
        </w:rPr>
      </w:pPr>
      <w:r>
        <w:rPr>
          <w:rFonts w:cs="Calibri"/>
          <w:szCs w:val="21"/>
        </w:rPr>
        <w:t xml:space="preserve">投标人：(盖单位章) </w:t>
      </w:r>
    </w:p>
    <w:p>
      <w:pPr>
        <w:spacing w:line="36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exact"/>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exact"/>
        <w:ind w:firstLine="480" w:firstLineChars="200"/>
        <w:jc w:val="left"/>
        <w:rPr>
          <w:rFonts w:cs="微软雅黑"/>
          <w:kern w:val="0"/>
          <w:sz w:val="24"/>
          <w:szCs w:val="24"/>
        </w:rPr>
      </w:pPr>
    </w:p>
    <w:p>
      <w:pPr>
        <w:spacing w:line="36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360" w:lineRule="exact"/>
        <w:ind w:firstLine="420" w:firstLineChars="200"/>
        <w:rPr>
          <w:rFonts w:cs="Calibri"/>
          <w:szCs w:val="21"/>
        </w:rPr>
      </w:pPr>
      <w:r>
        <w:rPr>
          <w:rFonts w:cs="Calibri"/>
          <w:szCs w:val="21"/>
        </w:rPr>
        <w:t>代理人无转委托权。</w:t>
      </w:r>
    </w:p>
    <w:p>
      <w:pPr>
        <w:spacing w:line="360" w:lineRule="exact"/>
        <w:ind w:firstLine="420" w:firstLineChars="200"/>
        <w:rPr>
          <w:rFonts w:cs="Calibri"/>
          <w:szCs w:val="21"/>
        </w:rPr>
      </w:pPr>
      <w:r>
        <w:rPr>
          <w:rFonts w:cs="Calibri"/>
          <w:szCs w:val="21"/>
        </w:rPr>
        <w:t>附：委托代理人身份证复制件。</w:t>
      </w:r>
    </w:p>
    <w:p>
      <w:pPr>
        <w:spacing w:line="360" w:lineRule="exact"/>
        <w:rPr>
          <w:rFonts w:cs="Calibri"/>
          <w:szCs w:val="21"/>
        </w:rPr>
      </w:pPr>
    </w:p>
    <w:p>
      <w:pPr>
        <w:spacing w:line="360" w:lineRule="exact"/>
        <w:rPr>
          <w:rFonts w:cs="Calibri"/>
          <w:szCs w:val="21"/>
        </w:rPr>
      </w:pPr>
      <w:r>
        <w:rPr>
          <w:rFonts w:cs="Calibri"/>
          <w:szCs w:val="21"/>
        </w:rPr>
        <w:t>投标人：(盖单位章)</w:t>
      </w:r>
    </w:p>
    <w:p>
      <w:pPr>
        <w:spacing w:line="360" w:lineRule="exact"/>
        <w:rPr>
          <w:rFonts w:cs="Calibri"/>
          <w:szCs w:val="21"/>
        </w:rPr>
      </w:pPr>
      <w:r>
        <w:rPr>
          <w:rFonts w:cs="Calibri"/>
          <w:szCs w:val="21"/>
        </w:rPr>
        <w:t>法定代表人：(签字或盖章)</w:t>
      </w:r>
    </w:p>
    <w:p>
      <w:pPr>
        <w:spacing w:line="360" w:lineRule="exact"/>
        <w:rPr>
          <w:rFonts w:cs="Calibri"/>
          <w:szCs w:val="21"/>
        </w:rPr>
      </w:pPr>
      <w:r>
        <w:rPr>
          <w:rFonts w:cs="Calibri"/>
          <w:szCs w:val="21"/>
        </w:rPr>
        <w:t>身份证号码：</w:t>
      </w:r>
    </w:p>
    <w:p>
      <w:pPr>
        <w:spacing w:line="360" w:lineRule="exact"/>
        <w:rPr>
          <w:rFonts w:cs="Calibri"/>
          <w:szCs w:val="21"/>
        </w:rPr>
      </w:pPr>
    </w:p>
    <w:p>
      <w:pPr>
        <w:tabs>
          <w:tab w:val="left" w:pos="6818"/>
        </w:tabs>
        <w:spacing w:line="360" w:lineRule="exact"/>
        <w:rPr>
          <w:rFonts w:cs="Calibri"/>
          <w:szCs w:val="21"/>
        </w:rPr>
      </w:pPr>
      <w:r>
        <w:rPr>
          <w:rFonts w:cs="Calibri"/>
          <w:szCs w:val="21"/>
        </w:rPr>
        <w:t>委托的代理人：(签字或盖章)</w:t>
      </w:r>
      <w:r>
        <w:rPr>
          <w:rFonts w:cs="Calibri"/>
          <w:szCs w:val="21"/>
        </w:rPr>
        <w:tab/>
      </w:r>
    </w:p>
    <w:p>
      <w:pPr>
        <w:spacing w:line="360" w:lineRule="exact"/>
        <w:rPr>
          <w:rFonts w:cs="Calibri"/>
          <w:szCs w:val="21"/>
        </w:rPr>
      </w:pPr>
      <w:r>
        <w:rPr>
          <w:rFonts w:cs="Calibri"/>
          <w:szCs w:val="21"/>
        </w:rPr>
        <w:t>身份证号码：</w:t>
      </w:r>
    </w:p>
    <w:p>
      <w:pPr>
        <w:spacing w:line="360" w:lineRule="exact"/>
        <w:rPr>
          <w:rFonts w:cs="Calibri"/>
          <w:szCs w:val="21"/>
        </w:rPr>
      </w:pPr>
      <w:r>
        <w:rPr>
          <w:rFonts w:hint="eastAsia" w:cs="Calibri"/>
          <w:szCs w:val="21"/>
        </w:rPr>
        <w:t>手机号码：</w:t>
      </w:r>
    </w:p>
    <w:p>
      <w:pPr>
        <w:spacing w:line="360" w:lineRule="exact"/>
        <w:rPr>
          <w:rFonts w:cs="Calibri"/>
          <w:szCs w:val="21"/>
        </w:rPr>
      </w:pPr>
      <w:r>
        <w:rPr>
          <w:rFonts w:hint="eastAsia" w:cs="Calibri"/>
          <w:szCs w:val="21"/>
        </w:rPr>
        <w:t>电子邮箱：</w:t>
      </w:r>
    </w:p>
    <w:p>
      <w:pPr>
        <w:spacing w:line="36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36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360" w:lineRule="exact"/>
        <w:rPr>
          <w:rFonts w:cs="Calibri"/>
          <w:b/>
          <w:bCs/>
          <w:szCs w:val="21"/>
        </w:rPr>
      </w:pPr>
      <w:r>
        <w:rPr>
          <w:rFonts w:cs="Calibri"/>
          <w:b/>
          <w:bCs/>
          <w:szCs w:val="21"/>
        </w:rPr>
        <w:t xml:space="preserve">  </w:t>
      </w:r>
    </w:p>
    <w:p>
      <w:pPr>
        <w:spacing w:line="360" w:lineRule="exact"/>
        <w:rPr>
          <w:rFonts w:cs="Calibri"/>
          <w:b/>
          <w:bCs/>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560" w:lineRule="exact"/>
        <w:rPr>
          <w:rFonts w:cs="Calibri"/>
          <w:szCs w:val="21"/>
        </w:rPr>
      </w:pPr>
    </w:p>
    <w:p>
      <w:pPr>
        <w:spacing w:line="560" w:lineRule="exact"/>
        <w:rPr>
          <w:rFonts w:cs="Calibri"/>
          <w:szCs w:val="21"/>
        </w:rPr>
      </w:pPr>
    </w:p>
    <w:p>
      <w:pPr>
        <w:tabs>
          <w:tab w:val="left" w:pos="2420"/>
          <w:tab w:val="left" w:pos="5580"/>
        </w:tabs>
        <w:autoSpaceDE w:val="0"/>
        <w:autoSpaceDN w:val="0"/>
        <w:adjustRightInd w:val="0"/>
        <w:spacing w:line="360" w:lineRule="exact"/>
        <w:ind w:right="-23"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560" w:lineRule="exact"/>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spacing w:line="560" w:lineRule="exact"/>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560" w:lineRule="exact"/>
        <w:ind w:firstLine="420" w:firstLineChars="200"/>
        <w:rPr>
          <w:rFonts w:ascii="宋体" w:hAnsi="宋体" w:cs="Arial"/>
          <w:kern w:val="0"/>
          <w:szCs w:val="21"/>
        </w:rPr>
      </w:pP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cs="微软雅黑"/>
          <w:b/>
          <w:kern w:val="0"/>
          <w:sz w:val="36"/>
          <w:szCs w:val="36"/>
        </w:rPr>
      </w:pPr>
      <w:bookmarkStart w:id="29" w:name="_Hlk54024727"/>
      <w:r>
        <w:rPr>
          <w:rFonts w:hint="eastAsia" w:cs="微软雅黑"/>
          <w:b/>
          <w:kern w:val="0"/>
          <w:sz w:val="36"/>
          <w:szCs w:val="36"/>
        </w:rPr>
        <w:t>四、施工组织设计</w:t>
      </w:r>
    </w:p>
    <w:p>
      <w:pPr>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pPr>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spacing w:line="360" w:lineRule="auto"/>
        <w:ind w:firstLine="420" w:firstLineChars="200"/>
        <w:rPr>
          <w:rFonts w:ascii="宋体" w:hAnsi="宋体"/>
          <w:szCs w:val="21"/>
        </w:rPr>
      </w:pPr>
      <w:r>
        <w:rPr>
          <w:rFonts w:hint="eastAsia" w:ascii="宋体" w:hAnsi="宋体"/>
          <w:szCs w:val="21"/>
        </w:rPr>
        <w:t>附表一  拟投入本标段的主要施工设备表</w:t>
      </w:r>
    </w:p>
    <w:p>
      <w:pPr>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spacing w:line="360" w:lineRule="auto"/>
        <w:ind w:firstLine="420" w:firstLineChars="200"/>
        <w:rPr>
          <w:rFonts w:ascii="宋体" w:hAnsi="宋体"/>
          <w:szCs w:val="21"/>
        </w:rPr>
      </w:pPr>
      <w:r>
        <w:rPr>
          <w:rFonts w:hint="eastAsia" w:ascii="宋体" w:hAnsi="宋体"/>
          <w:szCs w:val="21"/>
        </w:rPr>
        <w:t>附表三  劳动力计划表</w:t>
      </w:r>
    </w:p>
    <w:p>
      <w:pPr>
        <w:spacing w:line="360" w:lineRule="auto"/>
        <w:ind w:firstLine="420" w:firstLineChars="200"/>
        <w:rPr>
          <w:rFonts w:hint="eastAsia" w:ascii="宋体" w:hAnsi="宋体"/>
          <w:szCs w:val="21"/>
        </w:rPr>
      </w:pPr>
      <w:r>
        <w:rPr>
          <w:rFonts w:hint="eastAsia" w:ascii="宋体" w:hAnsi="宋体"/>
          <w:szCs w:val="21"/>
        </w:rPr>
        <w:t>附表四  计划开、竣工日期和施工进度网络图</w:t>
      </w: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黑体" w:eastAsia="黑体" w:cs="黑体"/>
          <w:kern w:val="0"/>
          <w:sz w:val="23"/>
          <w:szCs w:val="23"/>
        </w:rPr>
      </w:pPr>
      <w:r>
        <w:rPr>
          <w:rFonts w:hint="eastAsia" w:ascii="黑体" w:eastAsia="黑体" w:cs="黑体"/>
          <w:kern w:val="0"/>
          <w:sz w:val="23"/>
          <w:szCs w:val="23"/>
        </w:rPr>
        <w:t>附表一：拟投入本工程的主要施工设备表</w:t>
      </w: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72"/>
        <w:gridCol w:w="972"/>
        <w:gridCol w:w="973"/>
        <w:gridCol w:w="973"/>
        <w:gridCol w:w="974"/>
        <w:gridCol w:w="1046"/>
        <w:gridCol w:w="969"/>
        <w:gridCol w:w="1037"/>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97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97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97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97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97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1046"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969"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1037"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969"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969" w:type="dxa"/>
            <w:vAlign w:val="center"/>
          </w:tcPr>
          <w:p>
            <w:pPr>
              <w:jc w:val="center"/>
              <w:rPr>
                <w:rFonts w:ascii="宋体" w:hAnsi="宋体"/>
                <w:szCs w:val="21"/>
              </w:rPr>
            </w:pPr>
          </w:p>
        </w:tc>
        <w:tc>
          <w:tcPr>
            <w:tcW w:w="1037" w:type="dxa"/>
            <w:vAlign w:val="center"/>
          </w:tcPr>
          <w:p>
            <w:pPr>
              <w:jc w:val="center"/>
              <w:rPr>
                <w:rFonts w:ascii="宋体" w:hAnsi="宋体"/>
                <w:szCs w:val="21"/>
              </w:rPr>
            </w:pPr>
          </w:p>
        </w:tc>
        <w:tc>
          <w:tcPr>
            <w:tcW w:w="969" w:type="dxa"/>
            <w:vAlign w:val="center"/>
          </w:tcPr>
          <w:p>
            <w:pPr>
              <w:jc w:val="center"/>
              <w:rPr>
                <w:rFonts w:ascii="宋体" w:hAnsi="宋体"/>
                <w:szCs w:val="21"/>
              </w:rPr>
            </w:pPr>
          </w:p>
        </w:tc>
      </w:tr>
    </w:tbl>
    <w:p>
      <w:pPr>
        <w:spacing w:line="360" w:lineRule="auto"/>
        <w:rPr>
          <w:rFonts w:hAnsi="宋体"/>
          <w:szCs w:val="21"/>
        </w:rPr>
        <w:sectPr>
          <w:footerReference r:id="rId9" w:type="default"/>
          <w:footerReference r:id="rId10" w:type="even"/>
          <w:pgSz w:w="11907" w:h="16840"/>
          <w:pgMar w:top="1134" w:right="1134" w:bottom="1134" w:left="1134"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72"/>
        <w:gridCol w:w="972"/>
        <w:gridCol w:w="973"/>
        <w:gridCol w:w="973"/>
        <w:gridCol w:w="974"/>
        <w:gridCol w:w="1046"/>
        <w:gridCol w:w="1962"/>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97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97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97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97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97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1046"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96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101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2"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3" w:type="dxa"/>
            <w:vAlign w:val="center"/>
          </w:tcPr>
          <w:p>
            <w:pPr>
              <w:jc w:val="center"/>
              <w:rPr>
                <w:rFonts w:ascii="宋体" w:hAnsi="宋体"/>
                <w:szCs w:val="21"/>
              </w:rPr>
            </w:pPr>
          </w:p>
        </w:tc>
        <w:tc>
          <w:tcPr>
            <w:tcW w:w="974" w:type="dxa"/>
            <w:vAlign w:val="center"/>
          </w:tcPr>
          <w:p>
            <w:pPr>
              <w:jc w:val="center"/>
              <w:rPr>
                <w:rFonts w:ascii="宋体" w:hAnsi="宋体"/>
                <w:szCs w:val="21"/>
              </w:rPr>
            </w:pPr>
          </w:p>
        </w:tc>
        <w:tc>
          <w:tcPr>
            <w:tcW w:w="1046" w:type="dxa"/>
            <w:vAlign w:val="center"/>
          </w:tcPr>
          <w:p>
            <w:pPr>
              <w:jc w:val="center"/>
              <w:rPr>
                <w:rFonts w:ascii="宋体" w:hAnsi="宋体"/>
                <w:szCs w:val="21"/>
              </w:rPr>
            </w:pPr>
          </w:p>
        </w:tc>
        <w:tc>
          <w:tcPr>
            <w:tcW w:w="1962" w:type="dxa"/>
            <w:vAlign w:val="center"/>
          </w:tcPr>
          <w:p>
            <w:pPr>
              <w:jc w:val="center"/>
              <w:rPr>
                <w:rFonts w:ascii="宋体" w:hAnsi="宋体"/>
                <w:szCs w:val="21"/>
              </w:rPr>
            </w:pPr>
          </w:p>
        </w:tc>
        <w:tc>
          <w:tcPr>
            <w:tcW w:w="1013"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ind w:right="400"/>
        <w:jc w:val="right"/>
        <w:rPr>
          <w:rFonts w:ascii="黑体" w:eastAsia="黑体" w:cs="黑体"/>
          <w:kern w:val="0"/>
          <w:sz w:val="20"/>
        </w:rPr>
      </w:pPr>
      <w:r>
        <w:rPr>
          <w:rFonts w:hint="eastAsia" w:ascii="黑体" w:eastAsia="黑体" w:cs="黑体"/>
          <w:kern w:val="0"/>
          <w:sz w:val="20"/>
        </w:rPr>
        <w:t>单位：人</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71"/>
        <w:gridCol w:w="973"/>
        <w:gridCol w:w="972"/>
        <w:gridCol w:w="974"/>
        <w:gridCol w:w="974"/>
        <w:gridCol w:w="1046"/>
        <w:gridCol w:w="969"/>
        <w:gridCol w:w="1036"/>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885"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vAlign w:val="center"/>
          </w:tcPr>
          <w:p>
            <w:pPr>
              <w:jc w:val="center"/>
              <w:rPr>
                <w:rFonts w:hAnsi="宋体"/>
                <w:szCs w:val="21"/>
              </w:rPr>
            </w:pPr>
          </w:p>
        </w:tc>
        <w:tc>
          <w:tcPr>
            <w:tcW w:w="971" w:type="dxa"/>
            <w:vAlign w:val="center"/>
          </w:tcPr>
          <w:p>
            <w:pPr>
              <w:jc w:val="center"/>
              <w:rPr>
                <w:rFonts w:hAnsi="宋体"/>
                <w:szCs w:val="21"/>
              </w:rPr>
            </w:pPr>
          </w:p>
        </w:tc>
        <w:tc>
          <w:tcPr>
            <w:tcW w:w="973" w:type="dxa"/>
            <w:vAlign w:val="center"/>
          </w:tcPr>
          <w:p>
            <w:pPr>
              <w:jc w:val="center"/>
              <w:rPr>
                <w:rFonts w:hAnsi="宋体"/>
                <w:szCs w:val="21"/>
              </w:rPr>
            </w:pPr>
          </w:p>
        </w:tc>
        <w:tc>
          <w:tcPr>
            <w:tcW w:w="972" w:type="dxa"/>
            <w:vAlign w:val="center"/>
          </w:tcPr>
          <w:p>
            <w:pPr>
              <w:jc w:val="center"/>
              <w:rPr>
                <w:rFonts w:hAnsi="宋体"/>
                <w:szCs w:val="21"/>
              </w:rPr>
            </w:pPr>
          </w:p>
        </w:tc>
        <w:tc>
          <w:tcPr>
            <w:tcW w:w="974" w:type="dxa"/>
            <w:vAlign w:val="center"/>
          </w:tcPr>
          <w:p>
            <w:pPr>
              <w:jc w:val="center"/>
              <w:rPr>
                <w:rFonts w:hAnsi="宋体"/>
                <w:szCs w:val="21"/>
              </w:rPr>
            </w:pPr>
          </w:p>
        </w:tc>
        <w:tc>
          <w:tcPr>
            <w:tcW w:w="974" w:type="dxa"/>
            <w:vAlign w:val="center"/>
          </w:tcPr>
          <w:p>
            <w:pPr>
              <w:jc w:val="center"/>
              <w:rPr>
                <w:rFonts w:hAnsi="宋体"/>
                <w:szCs w:val="21"/>
              </w:rPr>
            </w:pPr>
          </w:p>
        </w:tc>
        <w:tc>
          <w:tcPr>
            <w:tcW w:w="1046" w:type="dxa"/>
            <w:vAlign w:val="center"/>
          </w:tcPr>
          <w:p>
            <w:pPr>
              <w:jc w:val="center"/>
              <w:rPr>
                <w:rFonts w:hAnsi="宋体"/>
                <w:szCs w:val="21"/>
              </w:rPr>
            </w:pPr>
          </w:p>
        </w:tc>
        <w:tc>
          <w:tcPr>
            <w:tcW w:w="969" w:type="dxa"/>
            <w:vAlign w:val="center"/>
          </w:tcPr>
          <w:p>
            <w:pPr>
              <w:jc w:val="center"/>
              <w:rPr>
                <w:rFonts w:hAnsi="宋体"/>
                <w:szCs w:val="21"/>
              </w:rPr>
            </w:pPr>
          </w:p>
        </w:tc>
        <w:tc>
          <w:tcPr>
            <w:tcW w:w="1036" w:type="dxa"/>
            <w:vAlign w:val="center"/>
          </w:tcPr>
          <w:p>
            <w:pPr>
              <w:jc w:val="center"/>
              <w:rPr>
                <w:rFonts w:hAnsi="宋体"/>
                <w:szCs w:val="21"/>
              </w:rPr>
            </w:pPr>
          </w:p>
        </w:tc>
        <w:tc>
          <w:tcPr>
            <w:tcW w:w="970" w:type="dxa"/>
            <w:vAlign w:val="center"/>
          </w:tcPr>
          <w:p>
            <w:pPr>
              <w:jc w:val="center"/>
              <w:rPr>
                <w:rFonts w:hAnsi="宋体"/>
                <w:szCs w:val="21"/>
              </w:rPr>
            </w:pPr>
          </w:p>
        </w:tc>
      </w:tr>
    </w:tbl>
    <w:p>
      <w:pPr>
        <w:spacing w:line="360" w:lineRule="auto"/>
        <w:rPr>
          <w:rFonts w:hAnsi="宋体"/>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134" w:left="1134"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keepLines/>
        <w:pageBreakBefore/>
        <w:spacing w:line="560" w:lineRule="exact"/>
        <w:jc w:val="center"/>
        <w:rPr>
          <w:rFonts w:cs="微软雅黑"/>
          <w:b/>
          <w:kern w:val="0"/>
          <w:sz w:val="36"/>
          <w:szCs w:val="36"/>
        </w:rPr>
      </w:pPr>
      <w:r>
        <w:rPr>
          <w:rFonts w:hint="eastAsia" w:cs="微软雅黑"/>
          <w:b/>
          <w:kern w:val="0"/>
          <w:sz w:val="36"/>
          <w:szCs w:val="36"/>
          <w:lang w:val="en-US" w:eastAsia="zh-CN"/>
        </w:rPr>
        <w:t>五、</w:t>
      </w:r>
      <w:r>
        <w:rPr>
          <w:rFonts w:hint="eastAsia" w:cs="微软雅黑"/>
          <w:b/>
          <w:kern w:val="0"/>
          <w:sz w:val="36"/>
          <w:szCs w:val="36"/>
        </w:rPr>
        <w:t>投标人认为需要提供的其他材料</w:t>
      </w:r>
    </w:p>
    <w:bookmarkEnd w:id="29"/>
    <w:p>
      <w:pPr>
        <w:autoSpaceDE w:val="0"/>
        <w:autoSpaceDN w:val="0"/>
        <w:adjustRightInd w:val="0"/>
        <w:spacing w:line="560" w:lineRule="exact"/>
        <w:jc w:val="center"/>
        <w:rPr>
          <w:rFonts w:hint="eastAsia"/>
          <w:b/>
          <w:sz w:val="24"/>
          <w:lang w:eastAsia="zh-CN"/>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48</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120</w:t>
    </w:r>
    <w:r>
      <w:rPr>
        <w:lang w:val="zh-CN"/>
      </w:rP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pPr>
        <w:ind w:left="70"/>
      </w:pPr>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58E6D07"/>
    <w:multiLevelType w:val="singleLevel"/>
    <w:tmpl w:val="658E6D07"/>
    <w:lvl w:ilvl="0" w:tentative="0">
      <w:start w:val="4"/>
      <w:numFmt w:val="chineseCounting"/>
      <w:suff w:val="space"/>
      <w:lvlText w:val="第%1章"/>
      <w:lvlJc w:val="left"/>
    </w:lvl>
  </w:abstractNum>
  <w:abstractNum w:abstractNumId="9">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9"/>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21BF"/>
    <w:rsid w:val="02380E83"/>
    <w:rsid w:val="037A2FD9"/>
    <w:rsid w:val="03D74FB1"/>
    <w:rsid w:val="05B64DCF"/>
    <w:rsid w:val="06786BA6"/>
    <w:rsid w:val="07E72EE1"/>
    <w:rsid w:val="0A2E05DD"/>
    <w:rsid w:val="0A493D71"/>
    <w:rsid w:val="0C814ABA"/>
    <w:rsid w:val="0F1C2D10"/>
    <w:rsid w:val="120B30EE"/>
    <w:rsid w:val="1266740C"/>
    <w:rsid w:val="15514D71"/>
    <w:rsid w:val="16225A04"/>
    <w:rsid w:val="16293A1A"/>
    <w:rsid w:val="168D217A"/>
    <w:rsid w:val="17DC0C90"/>
    <w:rsid w:val="183A07EF"/>
    <w:rsid w:val="1A495E22"/>
    <w:rsid w:val="1AFE3C42"/>
    <w:rsid w:val="1C9E18CC"/>
    <w:rsid w:val="1E201F19"/>
    <w:rsid w:val="1F390D55"/>
    <w:rsid w:val="201927BB"/>
    <w:rsid w:val="203248ED"/>
    <w:rsid w:val="21B25E2B"/>
    <w:rsid w:val="228872FF"/>
    <w:rsid w:val="2B9C12A0"/>
    <w:rsid w:val="2BFA02F9"/>
    <w:rsid w:val="2C836438"/>
    <w:rsid w:val="2D676C05"/>
    <w:rsid w:val="2D7E7A66"/>
    <w:rsid w:val="2E84147A"/>
    <w:rsid w:val="2F62581A"/>
    <w:rsid w:val="32546FF6"/>
    <w:rsid w:val="327E6F36"/>
    <w:rsid w:val="32A86171"/>
    <w:rsid w:val="33EE421A"/>
    <w:rsid w:val="34A47824"/>
    <w:rsid w:val="36DE54DD"/>
    <w:rsid w:val="374641C5"/>
    <w:rsid w:val="39B236CC"/>
    <w:rsid w:val="3C7576BE"/>
    <w:rsid w:val="3D945BE8"/>
    <w:rsid w:val="3DA6137D"/>
    <w:rsid w:val="3F5909BE"/>
    <w:rsid w:val="402C56C0"/>
    <w:rsid w:val="4149183A"/>
    <w:rsid w:val="420317A3"/>
    <w:rsid w:val="428310D0"/>
    <w:rsid w:val="433D2174"/>
    <w:rsid w:val="44EC1417"/>
    <w:rsid w:val="46F915AC"/>
    <w:rsid w:val="49E139A2"/>
    <w:rsid w:val="4C5145F7"/>
    <w:rsid w:val="4CB049B9"/>
    <w:rsid w:val="4D7512EB"/>
    <w:rsid w:val="4E774671"/>
    <w:rsid w:val="4F212CEE"/>
    <w:rsid w:val="504C5535"/>
    <w:rsid w:val="52003A04"/>
    <w:rsid w:val="52505E2A"/>
    <w:rsid w:val="526374CA"/>
    <w:rsid w:val="573E4AB5"/>
    <w:rsid w:val="57656F61"/>
    <w:rsid w:val="59E419A0"/>
    <w:rsid w:val="5A2231BB"/>
    <w:rsid w:val="5AC94108"/>
    <w:rsid w:val="5DC62017"/>
    <w:rsid w:val="5E7D4F74"/>
    <w:rsid w:val="607F1561"/>
    <w:rsid w:val="627A424D"/>
    <w:rsid w:val="6428732E"/>
    <w:rsid w:val="6539334A"/>
    <w:rsid w:val="65F02E7F"/>
    <w:rsid w:val="661E15EA"/>
    <w:rsid w:val="667B2151"/>
    <w:rsid w:val="68631249"/>
    <w:rsid w:val="699E3CB9"/>
    <w:rsid w:val="69BE4C46"/>
    <w:rsid w:val="6D215EFB"/>
    <w:rsid w:val="6F6760DE"/>
    <w:rsid w:val="6FD56D2B"/>
    <w:rsid w:val="72045CA2"/>
    <w:rsid w:val="72B91C8C"/>
    <w:rsid w:val="73C82A7A"/>
    <w:rsid w:val="74062CE2"/>
    <w:rsid w:val="742C0EB4"/>
    <w:rsid w:val="74371887"/>
    <w:rsid w:val="7997588C"/>
    <w:rsid w:val="7A053C43"/>
    <w:rsid w:val="7A8C4FBA"/>
    <w:rsid w:val="7AF55DB7"/>
    <w:rsid w:val="7B342260"/>
    <w:rsid w:val="7BEE3354"/>
    <w:rsid w:val="7C680860"/>
    <w:rsid w:val="7C9C56CF"/>
    <w:rsid w:val="7DC86E92"/>
    <w:rsid w:val="7DEC46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ascii="Times New Roman" w:hAnsi="Times New Roman" w:eastAsia="宋体" w:cs="Times New Roman"/>
    </w:rPr>
  </w:style>
  <w:style w:type="paragraph" w:styleId="7">
    <w:name w:val="Body Text First Indent"/>
    <w:basedOn w:val="6"/>
    <w:next w:val="8"/>
    <w:qFormat/>
    <w:uiPriority w:val="0"/>
    <w:pPr>
      <w:ind w:firstLine="420" w:firstLineChars="100"/>
    </w:pPr>
    <w:rPr>
      <w:rFonts w:ascii="Times New Roman" w:hAnsi="Times New Roman" w:eastAsia="宋体" w:cs="Times New Roman"/>
      <w:lang w:val="en-US" w:eastAsia="zh-CN"/>
    </w:rPr>
  </w:style>
  <w:style w:type="paragraph" w:styleId="8">
    <w:name w:val="toc 6"/>
    <w:basedOn w:val="1"/>
    <w:next w:val="1"/>
    <w:qFormat/>
    <w:uiPriority w:val="0"/>
    <w:pPr>
      <w:ind w:left="2100" w:leftChars="1000"/>
    </w:pPr>
  </w:style>
  <w:style w:type="paragraph" w:styleId="9">
    <w:name w:val="Plain Text"/>
    <w:basedOn w:val="1"/>
    <w:qFormat/>
    <w:uiPriority w:val="0"/>
    <w:rPr>
      <w:rFonts w:ascii="宋体" w:hAnsi="Courier New" w:eastAsia="宋体" w:cs="Times New Roman"/>
      <w:kern w:val="0"/>
      <w:sz w:val="20"/>
      <w:szCs w:val="21"/>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2">
    <w:name w:val="toc 1"/>
    <w:basedOn w:val="1"/>
    <w:next w:val="1"/>
    <w:qFormat/>
    <w:uiPriority w:val="0"/>
    <w:pPr>
      <w:adjustRightInd w:val="0"/>
      <w:snapToGrid w:val="0"/>
    </w:pPr>
    <w:rPr>
      <w:rFonts w:ascii="Times New Roman" w:hAnsi="Times New Roman" w:eastAsia="仿宋" w:cs="Times New Roman"/>
      <w:szCs w:val="24"/>
    </w:rPr>
  </w:style>
  <w:style w:type="paragraph" w:styleId="13">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basedOn w:val="1"/>
    <w:qFormat/>
    <w:uiPriority w:val="0"/>
    <w:pPr>
      <w:ind w:firstLine="420" w:firstLineChars="200"/>
    </w:pPr>
    <w:rPr>
      <w:szCs w:val="20"/>
    </w:rPr>
  </w:style>
  <w:style w:type="paragraph" w:customStyle="1" w:styleId="20">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黑仙人</cp:lastModifiedBy>
  <dcterms:modified xsi:type="dcterms:W3CDTF">2024-01-15T06:24:54Z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