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杭州机场航站楼到期旅客遗失物品处置项目公开询价文件</w:t>
      </w:r>
    </w:p>
    <w:p>
      <w:pPr>
        <w:pStyle w:val="2"/>
        <w:rPr>
          <w:rFonts w:hint="eastAsia" w:ascii="方正小标宋简体" w:hAnsi="方正小标宋简体" w:eastAsia="方正小标宋简体" w:cs="方正小标宋简体"/>
          <w:sz w:val="48"/>
          <w:szCs w:val="48"/>
          <w:lang w:val="en-US" w:eastAsia="zh-CN"/>
        </w:rPr>
      </w:pPr>
    </w:p>
    <w:p>
      <w:pPr>
        <w:pStyle w:val="2"/>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五</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六</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杭州萧山国际机场有限公司航站区管理中心就航站楼失物招领逾期无人认领物品处置项目进行公开询价，欢迎符合要求的供应商前来报价。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为进一步规范航站楼旅客遗失物品处置流程，加强遗失物品管理，根据《杭州萧山国际机场航站楼旅客遗失物品处理办法》（杭萧机发【2024】166号），拟通过公开方式，选取具有处理资质的公司对</w:t>
      </w:r>
      <w:bookmarkStart w:id="0" w:name="OLE_LINK1"/>
      <w:r>
        <w:rPr>
          <w:rFonts w:hint="eastAsia" w:ascii="仿宋_GB2312" w:hAnsi="仿宋_GB2312" w:eastAsia="仿宋_GB2312" w:cs="仿宋_GB2312"/>
          <w:sz w:val="28"/>
          <w:szCs w:val="28"/>
          <w:lang w:val="en-US" w:eastAsia="zh-CN"/>
        </w:rPr>
        <w:t>到期的旅客遗失物品</w:t>
      </w:r>
      <w:bookmarkEnd w:id="0"/>
      <w:r>
        <w:rPr>
          <w:rFonts w:hint="eastAsia" w:ascii="仿宋_GB2312" w:hAnsi="仿宋_GB2312" w:eastAsia="仿宋_GB2312" w:cs="仿宋_GB2312"/>
          <w:sz w:val="28"/>
          <w:szCs w:val="28"/>
          <w:lang w:val="en-US" w:eastAsia="zh-CN"/>
        </w:rPr>
        <w:t>进行处置销毁。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二、询价物品名称、数量及具体要求</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（一）出于个人隐私保护方面考虑，所有旅客遗失物品（电子产品类、服装类、杂物类等）需采取溶液浸泡+焚烧炉焚烧的方式进行销毁，销毁过程需进行视频拍摄，销毁后需出具销毁证明。</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中标单位在中标后需按招标方要求进场处理相关物品，首次处理物品时间2025年11月15日前，首次处理物品重量以1吨计；之后按中标方要求每15天进场处理一批次相关物品，每批次处理物品重量以0.5吨计，截止至2026年10月30日（共计进场24次），如进场处理物品时间需调整，以甲方通知为准。</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（三）此项目中包含2次重要物品处置，需安排车辆接送机场方监管人员代表至物品处理点现场观摩移交后的重要物品处置全过程。</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（四）投标报价应包含物品销毁、人工搬运、货物运输、税费等所有费用，后期不得以任何理由要求增加费用。</w:t>
      </w:r>
    </w:p>
    <w:p>
      <w:pPr>
        <w:rPr>
          <w:rFonts w:hint="default"/>
          <w:lang w:val="en-US" w:eastAsia="zh-CN"/>
        </w:rPr>
      </w:pPr>
    </w:p>
    <w:tbl>
      <w:tblPr>
        <w:tblStyle w:val="10"/>
        <w:tblW w:w="901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72"/>
        <w:gridCol w:w="773"/>
        <w:gridCol w:w="1680"/>
        <w:gridCol w:w="16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772"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73"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单价（含税）</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总价（含税）</w:t>
            </w:r>
          </w:p>
        </w:tc>
        <w:tc>
          <w:tcPr>
            <w:tcW w:w="222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逾期物品处置</w:t>
            </w:r>
          </w:p>
        </w:tc>
        <w:tc>
          <w:tcPr>
            <w:tcW w:w="77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吨</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首次处置物品重量约为1吨，不足一吨以一吨计，处置方法为焚烧，需出示焚烧处置证明。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定期进场处理</w:t>
            </w:r>
          </w:p>
        </w:tc>
        <w:tc>
          <w:tcPr>
            <w:tcW w:w="772"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需共进场24次，进场时间以机场通知为准，每次进场处置物品重量约为</w:t>
            </w:r>
            <w:r>
              <w:rPr>
                <w:rFonts w:hint="eastAsia" w:ascii="仿宋_GB2312" w:hAnsi="仿宋_GB2312" w:eastAsia="仿宋_GB2312" w:cs="仿宋_GB2312"/>
                <w:kern w:val="2"/>
                <w:sz w:val="28"/>
                <w:szCs w:val="28"/>
                <w:lang w:val="en-US" w:eastAsia="zh-CN" w:bidi="ar-SA"/>
              </w:rPr>
              <w:t>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现场观摩车辆接送</w:t>
            </w:r>
          </w:p>
        </w:tc>
        <w:tc>
          <w:tcPr>
            <w:tcW w:w="77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涉及贵重物品处置时，每次需安排一辆7座车辆</w:t>
            </w:r>
            <w:r>
              <w:rPr>
                <w:rFonts w:hint="eastAsia" w:ascii="仿宋_GB2312" w:hAnsi="仿宋_GB2312" w:eastAsia="仿宋_GB2312" w:cs="仿宋_GB2312"/>
                <w:kern w:val="2"/>
                <w:sz w:val="28"/>
                <w:szCs w:val="28"/>
                <w:lang w:val="en-US" w:eastAsia="zh-CN" w:bidi="ar-SA"/>
              </w:rPr>
              <w:t>接送机场方监管人员至物品处理点现场观摩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580"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bCs/>
          <w:color w:val="000000"/>
          <w:sz w:val="28"/>
          <w:szCs w:val="28"/>
          <w:lang w:eastAsia="zh-CN"/>
        </w:rPr>
        <w:t>1、具有独立法人资格，具备生活垃圾处理、垃圾回收无害化处置、并具备垃圾焚烧条件，有专业的焚烧场地（焚烧炉），持有有效营业执照，需提供营业执照复印件并加盖投标人公章作为证明材料，原件备查。</w:t>
      </w:r>
      <w:r>
        <w:rPr>
          <w:rFonts w:hint="eastAsia" w:ascii="仿宋_GB2312" w:hAnsi="仿宋_GB2312" w:eastAsia="仿宋_GB2312" w:cs="仿宋_GB2312"/>
          <w:color w:val="000000"/>
          <w:sz w:val="28"/>
          <w:szCs w:val="28"/>
          <w:lang w:eastAsia="zh-CN"/>
        </w:rPr>
        <w:t>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5、根据浙江省机场集团有限公司有关规定，被浙江省机场集团有限公司列入供应商负面清单的单位和个人不得参与本项目的报价。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6、单位负责人为同一人或者存在控股、管理关系的不同单位，不得参加同一项目报价。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4"/>
        </w:rPr>
      </w:pPr>
      <w:r>
        <w:rPr>
          <w:rFonts w:hint="eastAsia" w:ascii="黑体" w:hAnsi="黑体" w:eastAsia="黑体" w:cs="黑体"/>
          <w:b w:val="0"/>
          <w:bCs w:val="0"/>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8"/>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cs="Times New Roman"/>
          <w:b/>
          <w:sz w:val="28"/>
          <w:szCs w:val="24"/>
        </w:rPr>
      </w:pPr>
      <w:r>
        <w:rPr>
          <w:rFonts w:hint="eastAsia" w:ascii="黑体" w:hAnsi="黑体" w:eastAsia="黑体" w:cs="黑体"/>
          <w:b w:val="0"/>
          <w:bCs w:val="0"/>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叶工 18072714765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ascii="宋体"/>
          <w:b/>
          <w:sz w:val="28"/>
          <w:szCs w:val="28"/>
        </w:rPr>
      </w:pPr>
      <w:r>
        <w:rPr>
          <w:rFonts w:hint="eastAsia" w:ascii="黑体" w:hAnsi="黑体" w:eastAsia="黑体" w:cs="黑体"/>
          <w:b w:val="0"/>
          <w:bCs w:val="0"/>
          <w:kern w:val="2"/>
          <w:sz w:val="28"/>
          <w:szCs w:val="28"/>
          <w:lang w:val="en-US" w:eastAsia="zh-CN" w:bidi="ar-SA"/>
        </w:rPr>
        <w:t>六、评标办法</w:t>
      </w:r>
      <w:bookmarkStart w:id="1" w:name="_Toc152042366"/>
      <w:bookmarkStart w:id="2" w:name="_Toc144974556"/>
      <w:bookmarkStart w:id="3" w:name="_Toc152045589"/>
      <w:bookmarkStart w:id="4" w:name="_Toc246392109"/>
      <w:r>
        <w:rPr>
          <w:rFonts w:ascii="宋体"/>
          <w:b/>
          <w:sz w:val="28"/>
          <w:szCs w:val="28"/>
        </w:rPr>
        <w:tab/>
      </w: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w:t>
      </w:r>
      <w:bookmarkStart w:id="5" w:name="_GoBack"/>
      <w:bookmarkEnd w:id="5"/>
      <w:r>
        <w:rPr>
          <w:rFonts w:hint="eastAsia" w:ascii="黑体" w:hAnsi="黑体" w:eastAsia="黑体" w:cs="黑体"/>
          <w:b w:val="0"/>
          <w:bCs w:val="0"/>
          <w:kern w:val="2"/>
          <w:sz w:val="28"/>
          <w:szCs w:val="28"/>
          <w:lang w:val="en-US" w:eastAsia="zh-CN" w:bidi="ar-SA"/>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叶</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86662405</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周</w:t>
      </w:r>
      <w:r>
        <w:rPr>
          <w:rFonts w:hint="eastAsia" w:ascii="仿宋_GB2312" w:hAnsi="仿宋_GB2312" w:eastAsia="仿宋_GB2312" w:cs="仿宋_GB2312"/>
          <w:color w:val="000000"/>
          <w:sz w:val="28"/>
          <w:szCs w:val="28"/>
          <w:highlight w:val="none"/>
          <w:lang w:eastAsia="zh-CN"/>
        </w:rPr>
        <w:t>工</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lang w:val="en-US" w:eastAsia="zh-CN"/>
        </w:rPr>
        <w:t>0571-83837968</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杭州机场航站楼到期旅客遗失物品处置项目报价单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我单位详细了解航站楼到期旅客遗失物品处置项目询价文件，对其内容表示全部认可，并将严格遵守文件内所有要求，现对项目约定内容进行报价：</w:t>
      </w:r>
    </w:p>
    <w:tbl>
      <w:tblPr>
        <w:tblStyle w:val="10"/>
        <w:tblW w:w="901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72"/>
        <w:gridCol w:w="773"/>
        <w:gridCol w:w="1680"/>
        <w:gridCol w:w="16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772"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73"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单价（含税）</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总价（含税）</w:t>
            </w:r>
          </w:p>
        </w:tc>
        <w:tc>
          <w:tcPr>
            <w:tcW w:w="222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逾期物品处置</w:t>
            </w:r>
          </w:p>
        </w:tc>
        <w:tc>
          <w:tcPr>
            <w:tcW w:w="772" w:type="dxa"/>
            <w:textDirection w:val="lrTb"/>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吨</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首次处置物品重量约为1吨，不足一吨以一吨计，处置方法为焚烧，需出示处置证明。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定期进场处理</w:t>
            </w:r>
          </w:p>
        </w:tc>
        <w:tc>
          <w:tcPr>
            <w:tcW w:w="772"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需共进场24次，进场时间以机场通知为准，每次进场处置物品重量约为</w:t>
            </w:r>
            <w:r>
              <w:rPr>
                <w:rFonts w:hint="eastAsia" w:ascii="仿宋_GB2312" w:hAnsi="仿宋_GB2312" w:eastAsia="仿宋_GB2312" w:cs="仿宋_GB2312"/>
                <w:kern w:val="2"/>
                <w:sz w:val="28"/>
                <w:szCs w:val="28"/>
                <w:lang w:val="en-US" w:eastAsia="zh-CN" w:bidi="ar-SA"/>
              </w:rPr>
              <w:t>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现场观摩车辆接送</w:t>
            </w:r>
          </w:p>
        </w:tc>
        <w:tc>
          <w:tcPr>
            <w:tcW w:w="772"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涉及贵重物品处置时，需安排一辆7座车辆</w:t>
            </w:r>
            <w:r>
              <w:rPr>
                <w:rFonts w:hint="eastAsia" w:ascii="仿宋_GB2312" w:hAnsi="仿宋_GB2312" w:eastAsia="仿宋_GB2312" w:cs="仿宋_GB2312"/>
                <w:kern w:val="2"/>
                <w:sz w:val="28"/>
                <w:szCs w:val="28"/>
                <w:lang w:val="en-US" w:eastAsia="zh-CN" w:bidi="ar-SA"/>
              </w:rPr>
              <w:t>接送机场方监管人员至物品处理点现场观摩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580"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2、报价方所报价格应为完成本次采购项目所发生的一切费用，包含但不限于货物的供货、运输、搬运费、包装费、安装费、税费、验收及其他服务。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3、需提供增值税专用发票。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项目联系人：           联系电话：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920" w:firstLineChars="1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报价单位（盖章）：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  期：</w:t>
      </w:r>
    </w:p>
    <w:p>
      <w:pPr>
        <w:wordWrap w:val="0"/>
        <w:spacing w:line="500" w:lineRule="exact"/>
        <w:ind w:firstLine="3120" w:firstLineChars="13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 New Toman">
    <w:altName w:val="Times New Roman"/>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713E"/>
    <w:rsid w:val="0C25081C"/>
    <w:rsid w:val="24AF1293"/>
    <w:rsid w:val="29DE371D"/>
    <w:rsid w:val="42F4774F"/>
    <w:rsid w:val="4C5571CC"/>
    <w:rsid w:val="65DF4C09"/>
    <w:rsid w:val="6C5B71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1"/>
    <w:unhideWhenUsed/>
    <w:qFormat/>
    <w:uiPriority w:val="99"/>
    <w:pPr>
      <w:spacing w:after="120"/>
    </w:pPr>
    <w:rPr>
      <w:rFonts w:ascii="Times New Roman" w:hAnsi="Times New Roman"/>
    </w:rPr>
  </w:style>
  <w:style w:type="paragraph" w:styleId="4">
    <w:name w:val="footer"/>
    <w:basedOn w:val="1"/>
    <w:link w:val="13"/>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2"/>
    <w:qFormat/>
    <w:uiPriority w:val="0"/>
    <w:pP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rFonts w:ascii="Times New Roman" w:hAnsi="Times New Roman" w:eastAsia="宋体" w:cs="Times New Roman"/>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Revision"/>
    <w:hidden/>
    <w:semiHidden/>
    <w:qFormat/>
    <w:uiPriority w:val="99"/>
    <w:rPr>
      <w:rFonts w:ascii="Calibri" w:hAnsi="Calibri" w:eastAsia="宋体" w:cs="Times New Roman"/>
      <w:kern w:val="2"/>
      <w:sz w:val="21"/>
      <w:szCs w:val="22"/>
      <w:lang w:val="en-US" w:eastAsia="zh-CN" w:bidi="ar-SA"/>
    </w:rPr>
  </w:style>
  <w:style w:type="character" w:customStyle="1" w:styleId="12">
    <w:name w:val="页眉 字符"/>
    <w:basedOn w:val="7"/>
    <w:link w:val="5"/>
    <w:qFormat/>
    <w:uiPriority w:val="99"/>
    <w:rPr>
      <w:rFonts w:ascii="Calibri" w:hAnsi="Calibri" w:eastAsia="宋体" w:cs="Times New Roman"/>
      <w:sz w:val="18"/>
      <w:szCs w:val="18"/>
    </w:rPr>
  </w:style>
  <w:style w:type="character" w:customStyle="1" w:styleId="13">
    <w:name w:val="页脚 字符"/>
    <w:basedOn w:val="7"/>
    <w:link w:val="4"/>
    <w:qFormat/>
    <w:uiPriority w:val="99"/>
    <w:rPr>
      <w:rFonts w:ascii="Calibri" w:hAnsi="Calibri" w:eastAsia="宋体" w:cs="Times New Roman"/>
      <w:sz w:val="18"/>
      <w:szCs w:val="18"/>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
    <w:name w:val="fontstyle01"/>
    <w:qFormat/>
    <w:uiPriority w:val="0"/>
    <w:rPr>
      <w:rFonts w:hint="eastAsia" w:ascii="仿宋_GB2312" w:hAnsi="Times New Roman" w:eastAsia="仿宋_GB2312"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朱伟</cp:lastModifiedBy>
  <dcterms:modified xsi:type="dcterms:W3CDTF">2025-06-30T02:15:04Z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B078A84B41F40C71E480F7676E6BB53E_43</vt:lpwstr>
  </property>
  <property fmtid="{D5CDD505-2E9C-101B-9397-08002B2CF9AE}" pid="4" name="KSOTemplateDocerSaveRecord">
    <vt:lpwstr>eyJoZGlkIjoiOGRmYzQ2NTdjMGI4N2FmNGI2YmFhYWMwYWFlMjYyN2MiLCJ1c2VySWQiOiIxOTg0MjUzOTgifQ==</vt:lpwstr>
  </property>
</Properties>
</file>