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杭州萧山国际机场</w:t>
      </w:r>
      <w:r>
        <w:rPr>
          <w:rFonts w:hint="eastAsia" w:ascii="方正小标宋简体" w:hAnsi="方正小标宋简体" w:eastAsia="方正小标宋简体" w:cs="方正小标宋简体"/>
          <w:sz w:val="36"/>
          <w:szCs w:val="36"/>
          <w:lang w:val="en-US" w:eastAsia="zh-CN"/>
        </w:rPr>
        <w:t>T4航站楼盲道增设</w:t>
      </w:r>
      <w:r>
        <w:rPr>
          <w:rFonts w:hint="eastAsia" w:ascii="方正小标宋简体" w:hAnsi="方正小标宋简体" w:eastAsia="方正小标宋简体" w:cs="方正小标宋简体"/>
          <w:sz w:val="36"/>
          <w:szCs w:val="36"/>
        </w:rPr>
        <w:t>项目</w:t>
      </w:r>
    </w:p>
    <w:p>
      <w:pPr>
        <w:jc w:val="both"/>
        <w:rPr>
          <w:rFonts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询价文件（重新询价）</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六</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五</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both"/>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杭州萧山国际机场有限公司航站区管理中心就杭州萧山国际机场T4航站楼盲道增设项目进行公开询价，欢迎符合要求的供应商前来报价。</w:t>
      </w:r>
    </w:p>
    <w:p>
      <w:pPr>
        <w:numPr>
          <w:ilvl w:val="0"/>
          <w:numId w:val="1"/>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询价物品名称、数量及具体要求</w:t>
      </w:r>
    </w:p>
    <w:p>
      <w:p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维护项目清单</w:t>
      </w:r>
    </w:p>
    <w:tbl>
      <w:tblPr>
        <w:tblStyle w:val="5"/>
        <w:tblpPr w:leftFromText="180" w:rightFromText="180" w:vertAnchor="text" w:horzAnchor="page" w:tblpX="1972" w:tblpY="24"/>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722"/>
        <w:gridCol w:w="706"/>
        <w:gridCol w:w="1066"/>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2" w:type="dxa"/>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序号</w:t>
            </w:r>
          </w:p>
        </w:tc>
        <w:tc>
          <w:tcPr>
            <w:tcW w:w="1722" w:type="dxa"/>
            <w:vAlign w:val="center"/>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维修项目</w:t>
            </w:r>
          </w:p>
        </w:tc>
        <w:tc>
          <w:tcPr>
            <w:tcW w:w="706" w:type="dxa"/>
            <w:vAlign w:val="center"/>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单位</w:t>
            </w:r>
          </w:p>
        </w:tc>
        <w:tc>
          <w:tcPr>
            <w:tcW w:w="1066" w:type="dxa"/>
            <w:vAlign w:val="center"/>
          </w:tcPr>
          <w:p>
            <w:pPr>
              <w:jc w:val="center"/>
              <w:rPr>
                <w:rFonts w:hint="eastAsia" w:ascii="仿宋_GB2312" w:hAnsi="黑体" w:eastAsia="仿宋_GB2312"/>
                <w:b/>
                <w:bCs/>
                <w:color w:val="000000"/>
                <w:kern w:val="0"/>
                <w:sz w:val="24"/>
              </w:rPr>
            </w:pPr>
            <w:r>
              <w:rPr>
                <w:rFonts w:hint="eastAsia" w:ascii="仿宋_GB2312" w:hAnsi="黑体" w:eastAsia="仿宋_GB2312"/>
                <w:b/>
                <w:bCs/>
                <w:color w:val="000000"/>
                <w:kern w:val="0"/>
                <w:sz w:val="24"/>
              </w:rPr>
              <w:t>数量</w:t>
            </w:r>
          </w:p>
          <w:p>
            <w:pPr>
              <w:jc w:val="center"/>
              <w:rPr>
                <w:rFonts w:hint="eastAsia" w:ascii="仿宋_GB2312" w:hAnsi="黑体" w:eastAsia="仿宋_GB2312"/>
                <w:b/>
                <w:bCs/>
                <w:color w:val="000000"/>
                <w:kern w:val="0"/>
                <w:sz w:val="24"/>
                <w:lang w:eastAsia="zh-CN"/>
              </w:rPr>
            </w:pPr>
            <w:r>
              <w:rPr>
                <w:rFonts w:hint="eastAsia" w:ascii="仿宋_GB2312" w:hAnsi="黑体" w:eastAsia="仿宋_GB2312"/>
                <w:b/>
                <w:bCs/>
                <w:color w:val="000000"/>
                <w:kern w:val="0"/>
                <w:sz w:val="24"/>
                <w:lang w:eastAsia="zh-CN"/>
              </w:rPr>
              <w:t>（</w:t>
            </w:r>
            <w:r>
              <w:rPr>
                <w:rFonts w:hint="eastAsia" w:ascii="仿宋_GB2312" w:hAnsi="黑体" w:eastAsia="仿宋_GB2312"/>
                <w:b/>
                <w:bCs/>
                <w:color w:val="000000"/>
                <w:kern w:val="0"/>
                <w:sz w:val="24"/>
                <w:lang w:val="en-US" w:eastAsia="zh-CN"/>
              </w:rPr>
              <w:t>暂定</w:t>
            </w:r>
            <w:r>
              <w:rPr>
                <w:rFonts w:hint="eastAsia" w:ascii="仿宋_GB2312" w:hAnsi="黑体" w:eastAsia="仿宋_GB2312"/>
                <w:b/>
                <w:bCs/>
                <w:color w:val="000000"/>
                <w:kern w:val="0"/>
                <w:sz w:val="24"/>
                <w:lang w:eastAsia="zh-CN"/>
              </w:rPr>
              <w:t>）</w:t>
            </w:r>
          </w:p>
        </w:tc>
        <w:tc>
          <w:tcPr>
            <w:tcW w:w="4230" w:type="dxa"/>
            <w:vAlign w:val="center"/>
          </w:tcPr>
          <w:p>
            <w:pPr>
              <w:jc w:val="center"/>
              <w:rPr>
                <w:rFonts w:ascii="仿宋_GB2312" w:hAnsi="黑体" w:eastAsia="仿宋_GB2312"/>
                <w:b/>
                <w:bCs/>
                <w:color w:val="000000"/>
                <w:kern w:val="0"/>
                <w:sz w:val="24"/>
              </w:rPr>
            </w:pPr>
            <w:r>
              <w:rPr>
                <w:rFonts w:hint="eastAsia" w:ascii="仿宋_GB2312" w:hAnsi="黑体" w:eastAsia="仿宋_GB2312"/>
                <w:b/>
                <w:bCs/>
                <w:color w:val="000000"/>
                <w:kern w:val="0"/>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2"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1</w:t>
            </w:r>
          </w:p>
        </w:tc>
        <w:tc>
          <w:tcPr>
            <w:tcW w:w="1722" w:type="dxa"/>
            <w:vAlign w:val="center"/>
          </w:tcPr>
          <w:p>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23号门至M值机岛问询台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706" w:type="dxa"/>
            <w:vAlign w:val="center"/>
          </w:tcPr>
          <w:p>
            <w:pPr>
              <w:jc w:val="center"/>
              <w:rPr>
                <w:rFonts w:hint="eastAsia" w:ascii="仿宋_GB2312" w:hAnsi="黑体" w:eastAsia="仿宋_GB2312"/>
                <w:color w:val="000000"/>
                <w:kern w:val="0"/>
                <w:sz w:val="24"/>
                <w:lang w:eastAsia="zh-CN"/>
              </w:rPr>
            </w:pPr>
            <w:r>
              <w:rPr>
                <w:rFonts w:hint="eastAsia" w:ascii="仿宋_GB2312" w:hAnsi="黑体" w:eastAsia="仿宋_GB2312"/>
                <w:color w:val="000000"/>
                <w:kern w:val="0"/>
                <w:sz w:val="24"/>
                <w:lang w:val="en-US" w:eastAsia="zh-CN"/>
              </w:rPr>
              <w:t>米</w:t>
            </w:r>
          </w:p>
        </w:tc>
        <w:tc>
          <w:tcPr>
            <w:tcW w:w="1066" w:type="dxa"/>
            <w:vAlign w:val="center"/>
          </w:tcPr>
          <w:p>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35</w:t>
            </w:r>
          </w:p>
        </w:tc>
        <w:tc>
          <w:tcPr>
            <w:tcW w:w="4230" w:type="dxa"/>
            <w:vMerge w:val="restart"/>
            <w:vAlign w:val="center"/>
          </w:tcPr>
          <w:p>
            <w:pPr>
              <w:spacing w:line="400" w:lineRule="exact"/>
              <w:rPr>
                <w:rFonts w:hint="eastAsia" w:ascii="仿宋_GB2312" w:hAnsi="黑体" w:eastAsia="仿宋_GB2312"/>
                <w:color w:val="000000"/>
                <w:kern w:val="0"/>
                <w:sz w:val="24"/>
                <w:lang w:eastAsia="zh-CN"/>
              </w:rPr>
            </w:pPr>
            <w:r>
              <w:rPr>
                <w:rFonts w:hint="eastAsia" w:ascii="仿宋_GB2312" w:hAnsi="黑体" w:eastAsia="仿宋_GB2312"/>
                <w:color w:val="000000"/>
                <w:kern w:val="0"/>
                <w:sz w:val="24"/>
                <w:lang w:val="en-US" w:eastAsia="zh-CN"/>
              </w:rPr>
              <w:t>1.行进盲道：</w:t>
            </w:r>
            <w:r>
              <w:rPr>
                <w:rFonts w:hint="eastAsia" w:ascii="仿宋_GB2312" w:hAnsi="黑体" w:eastAsia="仿宋_GB2312"/>
                <w:color w:val="000000"/>
                <w:kern w:val="0"/>
                <w:sz w:val="24"/>
              </w:rPr>
              <w:t>面宽：25mm，底宽：35mm，高度：4mm，中心距：62mm-75mm</w:t>
            </w:r>
            <w:r>
              <w:rPr>
                <w:rFonts w:hint="eastAsia" w:ascii="仿宋_GB2312" w:hAnsi="黑体" w:eastAsia="仿宋_GB2312"/>
                <w:color w:val="000000"/>
                <w:kern w:val="0"/>
                <w:sz w:val="24"/>
                <w:lang w:eastAsia="zh-CN"/>
              </w:rPr>
              <w:t>。</w:t>
            </w:r>
          </w:p>
          <w:p>
            <w:pPr>
              <w:spacing w:line="400" w:lineRule="exact"/>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2.提示盲道：表面直径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25mm,底部直径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35mm，圆点</w:t>
            </w:r>
            <w:r>
              <w:rPr>
                <w:rFonts w:hint="eastAsia" w:ascii="仿宋_GB2312" w:hAnsi="黑体" w:eastAsia="仿宋_GB2312"/>
                <w:color w:val="000000"/>
                <w:kern w:val="0"/>
                <w:sz w:val="24"/>
              </w:rPr>
              <w:t>高度：4mm，</w:t>
            </w:r>
            <w:r>
              <w:rPr>
                <w:rFonts w:hint="eastAsia" w:ascii="仿宋_GB2312" w:hAnsi="黑体" w:eastAsia="仿宋_GB2312"/>
                <w:color w:val="000000"/>
                <w:kern w:val="0"/>
                <w:sz w:val="24"/>
                <w:lang w:val="en-US" w:eastAsia="zh-CN"/>
              </w:rPr>
              <w:t>圆点中心距</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50mm。</w:t>
            </w:r>
          </w:p>
          <w:p>
            <w:pPr>
              <w:spacing w:line="400" w:lineRule="exact"/>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3.线路为航站楼出入口至问询台地面标识处。</w:t>
            </w:r>
          </w:p>
          <w:p>
            <w:pPr>
              <w:spacing w:line="400" w:lineRule="exact"/>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4.盲道宽度500mm，项目包含安装。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2" w:type="dxa"/>
            <w:vAlign w:val="center"/>
          </w:tcPr>
          <w:p>
            <w:pPr>
              <w:jc w:val="center"/>
              <w:rPr>
                <w:rFonts w:ascii="仿宋_GB2312" w:hAnsi="黑体" w:eastAsia="仿宋_GB2312"/>
                <w:color w:val="000000"/>
                <w:kern w:val="0"/>
                <w:sz w:val="24"/>
              </w:rPr>
            </w:pPr>
            <w:r>
              <w:rPr>
                <w:rFonts w:hint="eastAsia" w:ascii="仿宋_GB2312" w:hAnsi="黑体" w:eastAsia="仿宋_GB2312"/>
                <w:color w:val="000000"/>
                <w:kern w:val="0"/>
                <w:sz w:val="24"/>
              </w:rPr>
              <w:t>2</w:t>
            </w:r>
          </w:p>
        </w:tc>
        <w:tc>
          <w:tcPr>
            <w:tcW w:w="1722" w:type="dxa"/>
            <w:vAlign w:val="center"/>
          </w:tcPr>
          <w:p>
            <w:pPr>
              <w:jc w:val="center"/>
              <w:rPr>
                <w:rFonts w:hint="default" w:ascii="仿宋_GB2312" w:hAnsi="黑体" w:eastAsia="仿宋_GB2312"/>
                <w:color w:val="000000"/>
                <w:kern w:val="0"/>
                <w:sz w:val="24"/>
                <w:lang w:val="en-US"/>
              </w:rPr>
            </w:pPr>
            <w:r>
              <w:rPr>
                <w:rFonts w:hint="eastAsia" w:ascii="仿宋_GB2312" w:hAnsi="黑体" w:eastAsia="仿宋_GB2312"/>
                <w:color w:val="000000"/>
                <w:kern w:val="0"/>
                <w:sz w:val="24"/>
                <w:lang w:val="en-US" w:eastAsia="zh-CN"/>
              </w:rPr>
              <w:t>交通中心至T4六米层隔离区外问询台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706" w:type="dxa"/>
            <w:vAlign w:val="center"/>
          </w:tcPr>
          <w:p>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米</w:t>
            </w:r>
          </w:p>
        </w:tc>
        <w:tc>
          <w:tcPr>
            <w:tcW w:w="1066" w:type="dxa"/>
            <w:vAlign w:val="center"/>
          </w:tcPr>
          <w:p>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12</w:t>
            </w:r>
          </w:p>
        </w:tc>
        <w:tc>
          <w:tcPr>
            <w:tcW w:w="4230" w:type="dxa"/>
            <w:vMerge w:val="continue"/>
            <w:vAlign w:val="center"/>
          </w:tcPr>
          <w:p>
            <w:pPr>
              <w:spacing w:line="400" w:lineRule="exact"/>
              <w:rPr>
                <w:rFonts w:ascii="仿宋_GB2312" w:hAnsi="黑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2" w:type="dxa"/>
            <w:vAlign w:val="center"/>
          </w:tcPr>
          <w:p>
            <w:pPr>
              <w:jc w:val="center"/>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w:t>
            </w:r>
          </w:p>
        </w:tc>
        <w:tc>
          <w:tcPr>
            <w:tcW w:w="1722" w:type="dxa"/>
            <w:vAlign w:val="center"/>
          </w:tcPr>
          <w:p>
            <w:pPr>
              <w:jc w:val="center"/>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备用</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w:t>
            </w:r>
          </w:p>
        </w:tc>
        <w:tc>
          <w:tcPr>
            <w:tcW w:w="706" w:type="dxa"/>
            <w:vAlign w:val="center"/>
          </w:tcPr>
          <w:p>
            <w:pPr>
              <w:jc w:val="center"/>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米</w:t>
            </w:r>
          </w:p>
        </w:tc>
        <w:tc>
          <w:tcPr>
            <w:tcW w:w="1066" w:type="dxa"/>
            <w:vAlign w:val="center"/>
          </w:tcPr>
          <w:p>
            <w:pPr>
              <w:jc w:val="center"/>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6</w:t>
            </w:r>
          </w:p>
        </w:tc>
        <w:tc>
          <w:tcPr>
            <w:tcW w:w="4230" w:type="dxa"/>
            <w:vAlign w:val="center"/>
          </w:tcPr>
          <w:p>
            <w:pPr>
              <w:spacing w:line="400" w:lineRule="exact"/>
              <w:rPr>
                <w:rFonts w:hint="default" w:ascii="仿宋_GB2312" w:hAnsi="黑体" w:eastAsia="仿宋_GB2312"/>
                <w:color w:val="000000"/>
                <w:kern w:val="0"/>
                <w:sz w:val="24"/>
                <w:lang w:val="en-US"/>
              </w:rPr>
            </w:pPr>
            <w:r>
              <w:rPr>
                <w:rFonts w:hint="eastAsia" w:ascii="仿宋_GB2312" w:hAnsi="黑体" w:eastAsia="仿宋_GB2312"/>
                <w:color w:val="000000"/>
                <w:kern w:val="0"/>
                <w:sz w:val="24"/>
                <w:lang w:val="en-US" w:eastAsia="zh-CN"/>
              </w:rPr>
              <w:t>行进盲道和提示盲道各3米，宽度500mm，不含安装。</w:t>
            </w:r>
          </w:p>
        </w:tc>
      </w:tr>
    </w:tbl>
    <w:p>
      <w:pPr>
        <w:numPr>
          <w:ilvl w:val="0"/>
          <w:numId w:val="0"/>
        </w:numPr>
        <w:spacing w:line="56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图片参考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可自行前往踏勘</w:t>
      </w:r>
      <w:r>
        <w:rPr>
          <w:rFonts w:hint="eastAsia" w:ascii="仿宋_GB2312" w:hAnsi="仿宋_GB2312" w:eastAsia="仿宋_GB2312" w:cs="仿宋_GB2312"/>
          <w:b/>
          <w:bCs/>
          <w:sz w:val="28"/>
          <w:szCs w:val="28"/>
          <w:lang w:eastAsia="zh-CN"/>
        </w:rPr>
        <w:t>）</w:t>
      </w:r>
    </w:p>
    <w:p>
      <w:pPr>
        <w:pStyle w:val="10"/>
        <w:ind w:left="420" w:firstLine="0" w:firstLineChars="0"/>
      </w:pPr>
      <w:r>
        <w:t xml:space="preserve">    </w:t>
      </w:r>
    </w:p>
    <w:tbl>
      <w:tblPr>
        <w:tblStyle w:val="5"/>
        <w:tblW w:w="787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4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6" w:type="dxa"/>
            <w:vAlign w:val="center"/>
          </w:tcPr>
          <w:p>
            <w:pPr>
              <w:pStyle w:val="10"/>
              <w:ind w:firstLine="0" w:firstLineChars="0"/>
              <w:jc w:val="center"/>
              <w:rPr>
                <w:rFonts w:hint="default"/>
                <w:kern w:val="0"/>
                <w:sz w:val="20"/>
                <w:lang w:val="en-US"/>
              </w:rPr>
            </w:pPr>
            <w:r>
              <w:rPr>
                <w:rFonts w:hint="eastAsia" w:ascii="仿宋_GB2312" w:hAnsi="黑体" w:eastAsia="仿宋_GB2312"/>
                <w:color w:val="000000"/>
                <w:kern w:val="0"/>
                <w:sz w:val="24"/>
                <w:lang w:val="en-US" w:eastAsia="zh-CN"/>
              </w:rPr>
              <w:t>23号门至M值机岛问询台盲道线路参考图</w:t>
            </w:r>
          </w:p>
        </w:tc>
        <w:tc>
          <w:tcPr>
            <w:tcW w:w="4220" w:type="dxa"/>
          </w:tcPr>
          <w:p>
            <w:pPr>
              <w:pStyle w:val="10"/>
              <w:ind w:firstLine="0" w:firstLineChars="0"/>
              <w:rPr>
                <w:rFonts w:hint="eastAsia" w:eastAsia="宋体"/>
                <w:kern w:val="0"/>
                <w:sz w:val="20"/>
                <w:lang w:eastAsia="zh-CN"/>
              </w:rPr>
            </w:pPr>
            <w:r>
              <w:rPr>
                <w:rFonts w:hint="eastAsia" w:eastAsia="宋体"/>
                <w:kern w:val="0"/>
                <w:sz w:val="20"/>
                <w:lang w:eastAsia="zh-CN"/>
              </w:rPr>
              <w:drawing>
                <wp:inline distT="0" distB="0" distL="114300" distR="114300">
                  <wp:extent cx="2534920" cy="1901190"/>
                  <wp:effectExtent l="0" t="0" r="17780" b="3810"/>
                  <wp:docPr id="2" name="图片 2" descr="12米层盲道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米层盲道2"/>
                          <pic:cNvPicPr>
                            <a:picLocks noChangeAspect="1"/>
                          </pic:cNvPicPr>
                        </pic:nvPicPr>
                        <pic:blipFill>
                          <a:blip r:embed="rId4"/>
                          <a:stretch>
                            <a:fillRect/>
                          </a:stretch>
                        </pic:blipFill>
                        <pic:spPr>
                          <a:xfrm>
                            <a:off x="0" y="0"/>
                            <a:ext cx="2534920" cy="19011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6" w:type="dxa"/>
            <w:vAlign w:val="center"/>
          </w:tcPr>
          <w:p>
            <w:pPr>
              <w:pStyle w:val="10"/>
              <w:ind w:firstLine="0" w:firstLineChars="0"/>
              <w:jc w:val="center"/>
              <w:rPr>
                <w:kern w:val="0"/>
                <w:sz w:val="20"/>
              </w:rPr>
            </w:pPr>
            <w:r>
              <w:rPr>
                <w:rFonts w:hint="eastAsia" w:ascii="仿宋_GB2312" w:hAnsi="黑体" w:eastAsia="仿宋_GB2312"/>
                <w:color w:val="000000"/>
                <w:kern w:val="0"/>
                <w:sz w:val="24"/>
                <w:lang w:val="en-US" w:eastAsia="zh-CN"/>
              </w:rPr>
              <w:t>交通中心至T4六米层隔离区外问询台盲道线路参考图</w:t>
            </w:r>
          </w:p>
        </w:tc>
        <w:tc>
          <w:tcPr>
            <w:tcW w:w="4220" w:type="dxa"/>
          </w:tcPr>
          <w:p>
            <w:pPr>
              <w:pStyle w:val="10"/>
              <w:ind w:firstLine="0" w:firstLineChars="0"/>
              <w:rPr>
                <w:rFonts w:hint="eastAsia" w:eastAsia="宋体"/>
                <w:kern w:val="0"/>
                <w:sz w:val="20"/>
                <w:lang w:eastAsia="zh-CN"/>
              </w:rPr>
            </w:pPr>
            <w:r>
              <w:rPr>
                <w:rFonts w:hint="eastAsia" w:eastAsia="宋体"/>
                <w:kern w:val="0"/>
                <w:sz w:val="20"/>
                <w:lang w:eastAsia="zh-CN"/>
              </w:rPr>
              <w:drawing>
                <wp:inline distT="0" distB="0" distL="114300" distR="114300">
                  <wp:extent cx="2534920" cy="1901190"/>
                  <wp:effectExtent l="0" t="0" r="17780" b="3810"/>
                  <wp:docPr id="1" name="图片 1" descr="6米层盲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米层盲道1"/>
                          <pic:cNvPicPr>
                            <a:picLocks noChangeAspect="1"/>
                          </pic:cNvPicPr>
                        </pic:nvPicPr>
                        <pic:blipFill>
                          <a:blip r:embed="rId5"/>
                          <a:stretch>
                            <a:fillRect/>
                          </a:stretch>
                        </pic:blipFill>
                        <pic:spPr>
                          <a:xfrm>
                            <a:off x="0" y="0"/>
                            <a:ext cx="2534920" cy="19011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6" w:type="dxa"/>
            <w:vAlign w:val="center"/>
          </w:tcPr>
          <w:p>
            <w:pPr>
              <w:pStyle w:val="10"/>
              <w:ind w:firstLine="0" w:firstLineChars="0"/>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行进盲道参考图</w:t>
            </w:r>
          </w:p>
        </w:tc>
        <w:tc>
          <w:tcPr>
            <w:tcW w:w="4220" w:type="dxa"/>
          </w:tcPr>
          <w:p>
            <w:pPr>
              <w:pStyle w:val="10"/>
              <w:ind w:firstLine="0" w:firstLineChars="0"/>
              <w:rPr>
                <w:kern w:val="0"/>
                <w:sz w:val="20"/>
              </w:rPr>
            </w:pPr>
            <w:r>
              <w:rPr>
                <w:rFonts w:hint="eastAsia" w:eastAsia="宋体"/>
                <w:kern w:val="0"/>
                <w:sz w:val="20"/>
                <w:lang w:eastAsia="zh-CN"/>
              </w:rPr>
              <w:drawing>
                <wp:inline distT="0" distB="0" distL="114300" distR="114300">
                  <wp:extent cx="2539365" cy="2878455"/>
                  <wp:effectExtent l="0" t="0" r="13335" b="17145"/>
                  <wp:docPr id="9" name="图片 9" descr="e38d7454ce663f00c438e895ee18f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38d7454ce663f00c438e895ee18f7d1"/>
                          <pic:cNvPicPr>
                            <a:picLocks noChangeAspect="1"/>
                          </pic:cNvPicPr>
                        </pic:nvPicPr>
                        <pic:blipFill>
                          <a:blip r:embed="rId6"/>
                          <a:stretch>
                            <a:fillRect/>
                          </a:stretch>
                        </pic:blipFill>
                        <pic:spPr>
                          <a:xfrm>
                            <a:off x="0" y="0"/>
                            <a:ext cx="2539365" cy="28784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56" w:type="dxa"/>
            <w:vAlign w:val="center"/>
          </w:tcPr>
          <w:p>
            <w:pPr>
              <w:pStyle w:val="10"/>
              <w:ind w:firstLine="0" w:firstLineChars="0"/>
              <w:jc w:val="center"/>
              <w:rPr>
                <w:rFonts w:hint="eastAsia" w:ascii="Calibri" w:hAnsi="Calibri" w:eastAsia="宋体" w:cs="Times New Roman"/>
                <w:kern w:val="0"/>
                <w:sz w:val="20"/>
                <w:szCs w:val="24"/>
                <w:lang w:val="en-US" w:eastAsia="zh-CN" w:bidi="ar-SA"/>
              </w:rPr>
            </w:pPr>
            <w:r>
              <w:rPr>
                <w:rFonts w:hint="eastAsia"/>
                <w:kern w:val="0"/>
                <w:sz w:val="20"/>
                <w:lang w:val="en-US" w:eastAsia="zh-CN"/>
              </w:rPr>
              <w:t>提示盲道参考图</w:t>
            </w:r>
          </w:p>
        </w:tc>
        <w:tc>
          <w:tcPr>
            <w:tcW w:w="4220" w:type="dxa"/>
          </w:tcPr>
          <w:p>
            <w:pPr>
              <w:pStyle w:val="10"/>
              <w:ind w:firstLine="0" w:firstLineChars="0"/>
              <w:rPr>
                <w:kern w:val="0"/>
                <w:sz w:val="20"/>
              </w:rPr>
            </w:pPr>
            <w:r>
              <w:rPr>
                <w:rFonts w:hint="eastAsia" w:eastAsia="宋体"/>
                <w:kern w:val="0"/>
                <w:sz w:val="20"/>
                <w:lang w:eastAsia="zh-CN"/>
              </w:rPr>
              <w:drawing>
                <wp:inline distT="0" distB="0" distL="114300" distR="114300">
                  <wp:extent cx="2537460" cy="2994660"/>
                  <wp:effectExtent l="0" t="0" r="15240" b="15240"/>
                  <wp:docPr id="10" name="图片 10" descr="56cc42ba89c2cce4e8065b6e98b1b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6cc42ba89c2cce4e8065b6e98b1b628"/>
                          <pic:cNvPicPr>
                            <a:picLocks noChangeAspect="1"/>
                          </pic:cNvPicPr>
                        </pic:nvPicPr>
                        <pic:blipFill>
                          <a:blip r:embed="rId7"/>
                          <a:stretch>
                            <a:fillRect/>
                          </a:stretch>
                        </pic:blipFill>
                        <pic:spPr>
                          <a:xfrm>
                            <a:off x="0" y="0"/>
                            <a:ext cx="2537460" cy="2994660"/>
                          </a:xfrm>
                          <a:prstGeom prst="rect">
                            <a:avLst/>
                          </a:prstGeom>
                        </pic:spPr>
                      </pic:pic>
                    </a:graphicData>
                  </a:graphic>
                </wp:inline>
              </w:drawing>
            </w:r>
          </w:p>
        </w:tc>
      </w:tr>
    </w:tbl>
    <w:p>
      <w:pPr>
        <w:pStyle w:val="10"/>
        <w:ind w:left="420" w:firstLine="0" w:firstLineChars="0"/>
      </w:pPr>
    </w:p>
    <w:p>
      <w:pPr>
        <w:pStyle w:val="10"/>
        <w:ind w:left="420" w:firstLine="0" w:firstLineChars="0"/>
      </w:pPr>
      <w:r>
        <w:t xml:space="preserve"> </w:t>
      </w:r>
    </w:p>
    <w:p>
      <w:pPr>
        <w:numPr>
          <w:ilvl w:val="0"/>
          <w:numId w:val="0"/>
        </w:numPr>
        <w:spacing w:line="560" w:lineRule="exact"/>
        <w:ind w:left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3.设计、材料采购、建设等要求</w:t>
      </w:r>
    </w:p>
    <w:p>
      <w:pPr>
        <w:widowControl w:val="0"/>
        <w:numPr>
          <w:ilvl w:val="0"/>
          <w:numId w:val="0"/>
        </w:numPr>
        <w:spacing w:line="560" w:lineRule="exact"/>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3.1</w:t>
      </w:r>
      <w:r>
        <w:rPr>
          <w:rFonts w:hint="default" w:ascii="仿宋_GB2312" w:hAnsi="仿宋_GB2312" w:eastAsia="仿宋_GB2312" w:cs="仿宋_GB2312"/>
          <w:b/>
          <w:bCs/>
          <w:sz w:val="28"/>
          <w:szCs w:val="28"/>
          <w:lang w:val="en-US" w:eastAsia="zh-CN"/>
        </w:rPr>
        <w:t>标准规范要求</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符合中华人民共和国住房和城乡建设部发布的《无障碍设计规范》B50763</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2012、市政盲道建设设计标准</w:t>
      </w:r>
      <w:r>
        <w:rPr>
          <w:rFonts w:hint="eastAsia" w:ascii="仿宋_GB2312" w:hAnsi="仿宋_GB2312" w:eastAsia="仿宋_GB2312" w:cs="仿宋_GB2312"/>
          <w:color w:val="000000"/>
          <w:sz w:val="28"/>
          <w:szCs w:val="28"/>
          <w:lang w:val="en-US" w:eastAsia="zh-CN"/>
        </w:rPr>
        <w:t>、民用机场旅客航站区无障碍设施设备配置技术标准(MH/T5047-2020)</w:t>
      </w:r>
      <w:r>
        <w:rPr>
          <w:rFonts w:hint="default" w:ascii="仿宋_GB2312" w:hAnsi="仿宋_GB2312" w:eastAsia="仿宋_GB2312" w:cs="仿宋_GB2312"/>
          <w:color w:val="000000"/>
          <w:sz w:val="28"/>
          <w:szCs w:val="28"/>
          <w:lang w:val="en-US" w:eastAsia="zh-CN"/>
        </w:rPr>
        <w:t>等相关国家、行业标准。</w:t>
      </w:r>
    </w:p>
    <w:p>
      <w:pPr>
        <w:widowControl w:val="0"/>
        <w:numPr>
          <w:ilvl w:val="0"/>
          <w:numId w:val="0"/>
        </w:numPr>
        <w:spacing w:line="560" w:lineRule="exact"/>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2路线设计要求</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人行道设置的盲道位置和走向应简洁明了，无多余转弯，方便视残者安全行走和顺利到达无障碍设施位置。</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指行残疾者向前行走的盲道应铺设条形的行进盲道，在行进盲道的起点、终点及拐弯处应铺设圆点形的提示盲道。</w:t>
      </w:r>
    </w:p>
    <w:p>
      <w:pPr>
        <w:widowControl w:val="0"/>
        <w:numPr>
          <w:ilvl w:val="0"/>
          <w:numId w:val="0"/>
        </w:numPr>
        <w:spacing w:line="560" w:lineRule="exact"/>
        <w:jc w:val="both"/>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lang w:val="en-US" w:eastAsia="zh-CN"/>
        </w:rPr>
        <w:t>3</w:t>
      </w:r>
      <w:r>
        <w:rPr>
          <w:rFonts w:hint="default" w:ascii="仿宋_GB2312" w:hAnsi="仿宋_GB2312" w:eastAsia="仿宋_GB2312" w:cs="仿宋_GB2312"/>
          <w:b/>
          <w:bCs/>
          <w:sz w:val="28"/>
          <w:szCs w:val="28"/>
          <w:lang w:val="en-US" w:eastAsia="zh-CN"/>
        </w:rPr>
        <w:t>材料采购、建设要求</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（1）不锈钢盲道型材的物理力学性能应符合不锈钢06Cr19Ni10的性能要求</w:t>
      </w:r>
      <w:r>
        <w:rPr>
          <w:rFonts w:hint="eastAsia" w:ascii="仿宋_GB2312" w:hAnsi="仿宋_GB2312" w:eastAsia="仿宋_GB2312" w:cs="仿宋_GB2312"/>
          <w:color w:val="000000"/>
          <w:sz w:val="28"/>
          <w:szCs w:val="28"/>
          <w:lang w:val="en-US" w:eastAsia="zh-CN"/>
        </w:rPr>
        <w:t>。</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2</w:t>
      </w:r>
      <w:r>
        <w:rPr>
          <w:rFonts w:hint="default" w:ascii="仿宋_GB2312" w:hAnsi="仿宋_GB2312" w:eastAsia="仿宋_GB2312" w:cs="仿宋_GB2312"/>
          <w:color w:val="000000"/>
          <w:sz w:val="28"/>
          <w:szCs w:val="28"/>
          <w:lang w:val="en-US" w:eastAsia="zh-CN"/>
        </w:rPr>
        <w:t>）不锈钢盲道型材的厚度应不少于1.5 mm。厚度的允许偏差应为</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0.2mm。</w:t>
      </w:r>
      <w:r>
        <w:rPr>
          <w:rFonts w:hint="eastAsia" w:ascii="仿宋_GB2312" w:hAnsi="仿宋_GB2312" w:eastAsia="仿宋_GB2312" w:cs="仿宋_GB2312"/>
          <w:color w:val="000000"/>
          <w:sz w:val="28"/>
          <w:szCs w:val="28"/>
          <w:lang w:val="en-US" w:eastAsia="zh-CN"/>
        </w:rPr>
        <w:t>采用250*250mm规格盲道拼接，</w:t>
      </w:r>
      <w:r>
        <w:rPr>
          <w:rFonts w:hint="default" w:ascii="仿宋_GB2312" w:hAnsi="仿宋_GB2312" w:eastAsia="仿宋_GB2312" w:cs="仿宋_GB2312"/>
          <w:color w:val="000000"/>
          <w:sz w:val="28"/>
          <w:szCs w:val="28"/>
          <w:lang w:val="en-US" w:eastAsia="zh-CN"/>
        </w:rPr>
        <w:t>触感条和触感圆点凸面高度、形状应符合国家、行业标准规定。</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3</w:t>
      </w:r>
      <w:r>
        <w:rPr>
          <w:rFonts w:hint="default" w:ascii="仿宋_GB2312" w:hAnsi="仿宋_GB2312" w:eastAsia="仿宋_GB2312" w:cs="仿宋_GB2312"/>
          <w:color w:val="000000"/>
          <w:sz w:val="28"/>
          <w:szCs w:val="28"/>
          <w:lang w:val="en-US" w:eastAsia="zh-CN"/>
        </w:rPr>
        <w:t>）钢钉、粘合剂的品种、强度、厚度应符合国家、行业标准规定。</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4</w:t>
      </w:r>
      <w:r>
        <w:rPr>
          <w:rFonts w:hint="default" w:ascii="仿宋_GB2312" w:hAnsi="仿宋_GB2312" w:eastAsia="仿宋_GB2312" w:cs="仿宋_GB2312"/>
          <w:color w:val="000000"/>
          <w:sz w:val="28"/>
          <w:szCs w:val="28"/>
          <w:lang w:val="en-US" w:eastAsia="zh-CN"/>
        </w:rPr>
        <w:t>）不锈钢盲道设置的宽度，提示盲道和行进盲道设置的部位、走向应符合国家、行业标准要求。</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5</w:t>
      </w:r>
      <w:r>
        <w:rPr>
          <w:rFonts w:hint="default" w:ascii="仿宋_GB2312" w:hAnsi="仿宋_GB2312" w:eastAsia="仿宋_GB2312" w:cs="仿宋_GB2312"/>
          <w:color w:val="000000"/>
          <w:sz w:val="28"/>
          <w:szCs w:val="28"/>
          <w:lang w:val="en-US" w:eastAsia="zh-CN"/>
        </w:rPr>
        <w:t>）不锈钢盲道面层外观不应有污染、翘边、缺角及断裂等缺陷。</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6</w:t>
      </w:r>
      <w:r>
        <w:rPr>
          <w:rFonts w:hint="default" w:ascii="仿宋_GB2312" w:hAnsi="仿宋_GB2312" w:eastAsia="仿宋_GB2312" w:cs="仿宋_GB2312"/>
          <w:color w:val="000000"/>
          <w:sz w:val="28"/>
          <w:szCs w:val="28"/>
          <w:lang w:val="en-US" w:eastAsia="zh-CN"/>
        </w:rPr>
        <w:t>）按规定路线将废料及时清运出航站楼，并负责废料的倾倒及其相应费用。</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7</w:t>
      </w:r>
      <w:r>
        <w:rPr>
          <w:rFonts w:hint="default" w:ascii="仿宋_GB2312" w:hAnsi="仿宋_GB2312" w:eastAsia="仿宋_GB2312" w:cs="仿宋_GB2312"/>
          <w:color w:val="000000"/>
          <w:sz w:val="28"/>
          <w:szCs w:val="28"/>
          <w:lang w:val="en-US" w:eastAsia="zh-CN"/>
        </w:rPr>
        <w:t>）杜绝因建设造成航站楼设施设备损坏、停水停电等人为事故，如造成机场损失的将承担赔偿直至追究法律责任。</w:t>
      </w:r>
    </w:p>
    <w:p>
      <w:p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CN"/>
        </w:rPr>
        <w:t>8</w:t>
      </w:r>
      <w:r>
        <w:rPr>
          <w:rFonts w:hint="default" w:ascii="仿宋_GB2312" w:hAnsi="仿宋_GB2312" w:eastAsia="仿宋_GB2312" w:cs="仿宋_GB2312"/>
          <w:color w:val="000000"/>
          <w:sz w:val="28"/>
          <w:szCs w:val="28"/>
          <w:lang w:val="en-US" w:eastAsia="zh-CN"/>
        </w:rPr>
        <w:t>）</w:t>
      </w:r>
      <w:bookmarkStart w:id="0" w:name="OLE_LINK1"/>
      <w:r>
        <w:rPr>
          <w:rFonts w:hint="eastAsia" w:ascii="仿宋_GB2312" w:hAnsi="仿宋_GB2312" w:eastAsia="仿宋_GB2312" w:cs="仿宋_GB2312"/>
          <w:color w:val="000000"/>
          <w:sz w:val="28"/>
          <w:szCs w:val="28"/>
          <w:lang w:val="en-US" w:eastAsia="zh-CN"/>
        </w:rPr>
        <w:t>报价方理解并同意，增设盲道工作的具体时间需优先满足机场生产运营的时序要求，其报价已充分考虑并包含了因配合航站区时间安排而可能产生的额外成本与风险。</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 xml:space="preserve"> 前述额外成本与风险包括但不限于：</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（1）在非标准工作时间（定义为工作日的8:00至</w:t>
      </w:r>
      <w:r>
        <w:rPr>
          <w:rFonts w:hint="eastAsia" w:ascii="仿宋_GB2312" w:hAnsi="仿宋_GB2312" w:eastAsia="仿宋_GB2312" w:cs="仿宋_GB2312"/>
          <w:color w:val="000000"/>
          <w:sz w:val="28"/>
          <w:szCs w:val="28"/>
          <w:lang w:val="en-US" w:eastAsia="zh-CN"/>
        </w:rPr>
        <w:t>20</w:t>
      </w:r>
      <w:r>
        <w:rPr>
          <w:rFonts w:hint="default" w:ascii="仿宋_GB2312" w:hAnsi="仿宋_GB2312" w:eastAsia="仿宋_GB2312" w:cs="仿宋_GB2312"/>
          <w:color w:val="000000"/>
          <w:sz w:val="28"/>
          <w:szCs w:val="28"/>
          <w:lang w:val="en-US" w:eastAsia="zh-CN"/>
        </w:rPr>
        <w:t>:00以外的时间，包括夜间、周末及法定节假日）内执行；</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default" w:ascii="仿宋_GB2312" w:hAnsi="仿宋_GB2312" w:eastAsia="仿宋_GB2312" w:cs="仿宋_GB2312"/>
          <w:color w:val="000000"/>
          <w:sz w:val="28"/>
          <w:szCs w:val="28"/>
          <w:lang w:val="en-US" w:eastAsia="zh-CN"/>
        </w:rPr>
        <w:t>（2）因</w:t>
      </w:r>
      <w:r>
        <w:rPr>
          <w:rFonts w:hint="eastAsia" w:ascii="仿宋_GB2312" w:hAnsi="仿宋_GB2312" w:eastAsia="仿宋_GB2312" w:cs="仿宋_GB2312"/>
          <w:color w:val="000000"/>
          <w:sz w:val="28"/>
          <w:szCs w:val="28"/>
          <w:lang w:val="en-US" w:eastAsia="zh-CN"/>
        </w:rPr>
        <w:t>航站区</w:t>
      </w:r>
      <w:r>
        <w:rPr>
          <w:rFonts w:hint="default" w:ascii="仿宋_GB2312" w:hAnsi="仿宋_GB2312" w:eastAsia="仿宋_GB2312" w:cs="仿宋_GB2312"/>
          <w:color w:val="000000"/>
          <w:sz w:val="28"/>
          <w:szCs w:val="28"/>
          <w:lang w:val="en-US" w:eastAsia="zh-CN"/>
        </w:rPr>
        <w:t>现场条件、生产计划变更或故障排查需要而导致的</w:t>
      </w:r>
      <w:r>
        <w:rPr>
          <w:rFonts w:hint="eastAsia" w:ascii="仿宋_GB2312" w:hAnsi="仿宋_GB2312" w:eastAsia="仿宋_GB2312" w:cs="仿宋_GB2312"/>
          <w:color w:val="000000"/>
          <w:sz w:val="28"/>
          <w:szCs w:val="28"/>
          <w:lang w:val="en-US" w:eastAsia="zh-CN"/>
        </w:rPr>
        <w:t>工作</w:t>
      </w:r>
      <w:r>
        <w:rPr>
          <w:rFonts w:hint="default" w:ascii="仿宋_GB2312" w:hAnsi="仿宋_GB2312" w:eastAsia="仿宋_GB2312" w:cs="仿宋_GB2312"/>
          <w:color w:val="000000"/>
          <w:sz w:val="28"/>
          <w:szCs w:val="28"/>
          <w:lang w:val="en-US" w:eastAsia="zh-CN"/>
        </w:rPr>
        <w:t>人员及设备多次进场。</w:t>
      </w:r>
    </w:p>
    <w:bookmarkEnd w:id="0"/>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b/>
          <w:sz w:val="28"/>
        </w:rPr>
      </w:pPr>
      <w:r>
        <w:rPr>
          <w:rFonts w:hint="eastAsia" w:ascii="仿宋_GB2312" w:hAnsi="仿宋_GB2312" w:eastAsia="仿宋_GB2312" w:cs="仿宋_GB2312"/>
          <w:b/>
          <w:bCs/>
          <w:sz w:val="28"/>
          <w:szCs w:val="28"/>
        </w:rPr>
        <w:t>三、询价文件的获取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7"/>
          <w:rFonts w:hint="eastAsia" w:ascii="仿宋_GB2312" w:hAnsi="仿宋_GB2312" w:eastAsia="仿宋_GB2312" w:cs="仿宋_GB2312"/>
          <w:color w:val="000000"/>
          <w:sz w:val="28"/>
          <w:szCs w:val="28"/>
        </w:rPr>
        <w:t>http://www.hzairport.com/tender/index.html</w:t>
      </w:r>
      <w:r>
        <w:rPr>
          <w:rStyle w:val="7"/>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b/>
          <w:sz w:val="28"/>
        </w:rPr>
      </w:pPr>
      <w:r>
        <w:rPr>
          <w:rFonts w:hint="eastAsia" w:ascii="仿宋_GB2312" w:hAnsi="仿宋_GB2312" w:eastAsia="仿宋_GB2312" w:cs="仿宋_GB2312"/>
          <w:b/>
          <w:bCs/>
          <w:sz w:val="28"/>
          <w:szCs w:val="28"/>
        </w:rPr>
        <w:t>四、报价文件的递交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2、报价文件至少应包括：（1）报价单；（2）法定代表人授权委托书；（3）报价人有效的营业执照</w:t>
      </w:r>
      <w:bookmarkStart w:id="5" w:name="_GoBack"/>
      <w:bookmarkEnd w:id="5"/>
      <w:r>
        <w:rPr>
          <w:rFonts w:hint="eastAsia" w:ascii="仿宋_GB2312" w:hAnsi="仿宋_GB2312" w:eastAsia="仿宋_GB2312" w:cs="仿宋_GB2312"/>
          <w:color w:val="000000"/>
          <w:sz w:val="28"/>
          <w:szCs w:val="28"/>
        </w:rPr>
        <w:t>；（4）项目联系人身份证复印件及联系方式；（5）报价单位征信证明及无犯罪记录证明查询结果盖公章（见资格要求2和3）。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3、投递地址：杭州萧山国际机场T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航站楼</w:t>
      </w:r>
      <w:r>
        <w:rPr>
          <w:rFonts w:hint="eastAsia" w:ascii="仿宋_GB2312" w:hAnsi="仿宋_GB2312" w:eastAsia="仿宋_GB2312" w:cs="仿宋_GB2312"/>
          <w:color w:val="000000"/>
          <w:sz w:val="28"/>
          <w:szCs w:val="28"/>
          <w:lang w:val="en-US" w:eastAsia="zh-CN"/>
        </w:rPr>
        <w:t>C2580</w:t>
      </w:r>
      <w:r>
        <w:rPr>
          <w:rFonts w:hint="eastAsia" w:ascii="仿宋_GB2312" w:hAnsi="仿宋_GB2312" w:eastAsia="仿宋_GB2312" w:cs="仿宋_GB2312"/>
          <w:color w:val="000000"/>
          <w:sz w:val="28"/>
          <w:szCs w:val="28"/>
        </w:rPr>
        <w:t>房间</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4、截止日期:202</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25</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:00（北京时间）</w:t>
      </w:r>
    </w:p>
    <w:p>
      <w:pPr>
        <w:tabs>
          <w:tab w:val="left" w:pos="4591"/>
        </w:tabs>
        <w:spacing w:line="360" w:lineRule="auto"/>
        <w:ind w:firstLine="562" w:firstLineChars="200"/>
        <w:rPr>
          <w:rFonts w:ascii="宋体"/>
          <w:b/>
          <w:sz w:val="28"/>
          <w:szCs w:val="28"/>
        </w:rPr>
      </w:pPr>
      <w:r>
        <w:rPr>
          <w:rFonts w:hint="eastAsia" w:ascii="仿宋_GB2312" w:hAnsi="仿宋_GB2312" w:eastAsia="仿宋_GB2312" w:cs="仿宋_GB2312"/>
          <w:b/>
          <w:bCs/>
          <w:sz w:val="28"/>
          <w:szCs w:val="28"/>
        </w:rPr>
        <w:t>五、评标办法</w:t>
      </w:r>
      <w:bookmarkStart w:id="1" w:name="_Toc144974556"/>
      <w:bookmarkStart w:id="2" w:name="_Toc246392109"/>
      <w:bookmarkStart w:id="3" w:name="_Toc152045589"/>
      <w:bookmarkStart w:id="4" w:name="_Toc152042366"/>
      <w:r>
        <w:rPr>
          <w:rFonts w:ascii="宋体"/>
          <w:b/>
          <w:sz w:val="28"/>
          <w:szCs w:val="28"/>
        </w:rPr>
        <w:tab/>
      </w:r>
    </w:p>
    <w:bookmarkEnd w:id="1"/>
    <w:bookmarkEnd w:id="2"/>
    <w:bookmarkEnd w:id="3"/>
    <w:bookmarkEnd w:id="4"/>
    <w:p>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沈小峰</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ascii="仿宋_GB2312" w:hAnsi="仿宋_GB2312" w:eastAsia="仿宋_GB2312" w:cs="仿宋_GB2312"/>
          <w:color w:val="000000"/>
          <w:sz w:val="28"/>
          <w:szCs w:val="28"/>
        </w:rPr>
        <w:t>13575459486</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监督</w:t>
      </w:r>
      <w:r>
        <w:rPr>
          <w:rFonts w:hint="eastAsia" w:ascii="仿宋_GB2312" w:hAnsi="仿宋_GB2312" w:eastAsia="仿宋_GB2312" w:cs="仿宋_GB2312"/>
          <w:color w:val="000000"/>
          <w:sz w:val="28"/>
          <w:szCs w:val="28"/>
          <w:lang w:val="en-US" w:eastAsia="zh-CN"/>
        </w:rPr>
        <w:t xml:space="preserve">人：于华   </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联系电话：0571-8383</w:t>
      </w:r>
      <w:r>
        <w:rPr>
          <w:rFonts w:hint="eastAsia" w:ascii="仿宋_GB2312" w:hAnsi="仿宋_GB2312" w:eastAsia="仿宋_GB2312" w:cs="仿宋_GB2312"/>
          <w:color w:val="000000"/>
          <w:sz w:val="28"/>
          <w:szCs w:val="28"/>
          <w:lang w:val="en-US" w:eastAsia="zh-CN"/>
        </w:rPr>
        <w:t>3260</w:t>
      </w: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p>
    <w:p>
      <w:pPr>
        <w:spacing w:line="44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附件一：</w:t>
      </w:r>
    </w:p>
    <w:p>
      <w:pPr>
        <w:spacing w:line="440" w:lineRule="exact"/>
        <w:rPr>
          <w:rFonts w:ascii="仿宋_GB2312" w:hAnsi="仿宋_GB2312" w:eastAsia="仿宋_GB2312" w:cs="仿宋_GB2312"/>
          <w:b/>
          <w:bCs/>
          <w:sz w:val="28"/>
          <w:szCs w:val="28"/>
          <w:shd w:val="clear" w:color="auto" w:fill="FFFFFF"/>
        </w:rPr>
      </w:pPr>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我中心根据杭州萧山国际机场T4航站楼盲道增设项目需求，现邀请你单位参与此次询价工作，具体需求明细如下：</w:t>
      </w:r>
    </w:p>
    <w:tbl>
      <w:tblPr>
        <w:tblStyle w:val="4"/>
        <w:tblW w:w="865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29"/>
        <w:gridCol w:w="3293"/>
        <w:gridCol w:w="536"/>
        <w:gridCol w:w="1080"/>
        <w:gridCol w:w="734"/>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序号</w:t>
            </w:r>
          </w:p>
        </w:tc>
        <w:tc>
          <w:tcPr>
            <w:tcW w:w="1429"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名目</w:t>
            </w:r>
          </w:p>
        </w:tc>
        <w:tc>
          <w:tcPr>
            <w:tcW w:w="3293"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规格要求</w:t>
            </w:r>
          </w:p>
        </w:tc>
        <w:tc>
          <w:tcPr>
            <w:tcW w:w="536" w:type="dxa"/>
            <w:vAlign w:val="center"/>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1080" w:type="dxa"/>
            <w:vAlign w:val="center"/>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数量</w:t>
            </w:r>
          </w:p>
          <w:p>
            <w:pPr>
              <w:spacing w:line="560" w:lineRule="exact"/>
              <w:jc w:val="center"/>
              <w:rPr>
                <w:rFonts w:hint="eastAsia" w:ascii="仿宋_GB2312" w:hAnsi="黑体" w:eastAsia="仿宋_GB2312"/>
                <w:b/>
                <w:color w:val="000000"/>
                <w:sz w:val="24"/>
                <w:lang w:eastAsia="zh-CN"/>
              </w:rPr>
            </w:pPr>
            <w:r>
              <w:rPr>
                <w:rFonts w:hint="eastAsia" w:ascii="仿宋_GB2312" w:hAnsi="黑体" w:eastAsia="仿宋_GB2312"/>
                <w:b/>
                <w:color w:val="000000"/>
                <w:sz w:val="24"/>
                <w:lang w:eastAsia="zh-CN"/>
              </w:rPr>
              <w:t>（</w:t>
            </w:r>
            <w:r>
              <w:rPr>
                <w:rFonts w:hint="eastAsia" w:ascii="仿宋_GB2312" w:hAnsi="黑体" w:eastAsia="仿宋_GB2312"/>
                <w:b/>
                <w:color w:val="000000"/>
                <w:sz w:val="24"/>
                <w:lang w:val="en-US" w:eastAsia="zh-CN"/>
              </w:rPr>
              <w:t>暂定</w:t>
            </w:r>
            <w:r>
              <w:rPr>
                <w:rFonts w:hint="eastAsia" w:ascii="仿宋_GB2312" w:hAnsi="黑体" w:eastAsia="仿宋_GB2312"/>
                <w:b/>
                <w:color w:val="000000"/>
                <w:sz w:val="24"/>
                <w:lang w:eastAsia="zh-CN"/>
              </w:rPr>
              <w:t>）</w:t>
            </w:r>
          </w:p>
        </w:tc>
        <w:tc>
          <w:tcPr>
            <w:tcW w:w="734"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单价</w:t>
            </w:r>
          </w:p>
        </w:tc>
        <w:tc>
          <w:tcPr>
            <w:tcW w:w="747" w:type="dxa"/>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rPr>
              <w:t>1</w:t>
            </w:r>
          </w:p>
        </w:tc>
        <w:tc>
          <w:tcPr>
            <w:tcW w:w="1429"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23号门至M值机岛问询台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3293" w:type="dxa"/>
            <w:vMerge w:val="restart"/>
            <w:vAlign w:val="center"/>
          </w:tcPr>
          <w:p>
            <w:pPr>
              <w:spacing w:line="400" w:lineRule="exact"/>
              <w:rPr>
                <w:rFonts w:hint="eastAsia" w:ascii="仿宋_GB2312" w:hAnsi="黑体" w:eastAsia="仿宋_GB2312"/>
                <w:color w:val="000000"/>
                <w:kern w:val="0"/>
                <w:sz w:val="24"/>
                <w:lang w:eastAsia="zh-CN"/>
              </w:rPr>
            </w:pPr>
            <w:r>
              <w:rPr>
                <w:rFonts w:hint="eastAsia" w:ascii="仿宋_GB2312" w:hAnsi="黑体" w:eastAsia="仿宋_GB2312"/>
                <w:color w:val="000000"/>
                <w:kern w:val="0"/>
                <w:sz w:val="24"/>
                <w:lang w:val="en-US" w:eastAsia="zh-CN"/>
              </w:rPr>
              <w:t>1.行进盲道：</w:t>
            </w:r>
            <w:r>
              <w:rPr>
                <w:rFonts w:hint="eastAsia" w:ascii="仿宋_GB2312" w:hAnsi="黑体" w:eastAsia="仿宋_GB2312"/>
                <w:color w:val="000000"/>
                <w:kern w:val="0"/>
                <w:sz w:val="24"/>
              </w:rPr>
              <w:t>面宽：25mm，底宽：35mm，高度：4mm，中心距：62mm-75mm</w:t>
            </w:r>
            <w:r>
              <w:rPr>
                <w:rFonts w:hint="eastAsia" w:ascii="仿宋_GB2312" w:hAnsi="黑体" w:eastAsia="仿宋_GB2312"/>
                <w:color w:val="000000"/>
                <w:kern w:val="0"/>
                <w:sz w:val="24"/>
                <w:lang w:eastAsia="zh-CN"/>
              </w:rPr>
              <w:t>。</w:t>
            </w:r>
          </w:p>
          <w:p>
            <w:pPr>
              <w:spacing w:line="400" w:lineRule="exact"/>
              <w:rPr>
                <w:rFonts w:hint="eastAsia"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2.提示盲道：表面直径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25mm,底部直径</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35mm，圆点</w:t>
            </w:r>
            <w:r>
              <w:rPr>
                <w:rFonts w:hint="eastAsia" w:ascii="仿宋_GB2312" w:hAnsi="黑体" w:eastAsia="仿宋_GB2312"/>
                <w:color w:val="000000"/>
                <w:kern w:val="0"/>
                <w:sz w:val="24"/>
              </w:rPr>
              <w:t>高度：4mm，</w:t>
            </w:r>
            <w:r>
              <w:rPr>
                <w:rFonts w:hint="eastAsia" w:ascii="仿宋_GB2312" w:hAnsi="黑体" w:eastAsia="仿宋_GB2312"/>
                <w:color w:val="000000"/>
                <w:kern w:val="0"/>
                <w:sz w:val="24"/>
                <w:lang w:val="en-US" w:eastAsia="zh-CN"/>
              </w:rPr>
              <w:t>圆点中心距</w:t>
            </w:r>
            <w:r>
              <w:rPr>
                <w:rFonts w:hint="eastAsia" w:ascii="仿宋_GB2312" w:hAnsi="黑体" w:eastAsia="仿宋_GB2312"/>
                <w:color w:val="000000"/>
                <w:kern w:val="0"/>
                <w:sz w:val="24"/>
              </w:rPr>
              <w:t>：</w:t>
            </w:r>
            <w:r>
              <w:rPr>
                <w:rFonts w:hint="eastAsia" w:ascii="仿宋_GB2312" w:hAnsi="黑体" w:eastAsia="仿宋_GB2312"/>
                <w:color w:val="000000"/>
                <w:kern w:val="0"/>
                <w:sz w:val="24"/>
                <w:lang w:val="en-US" w:eastAsia="zh-CN"/>
              </w:rPr>
              <w:t>50mm。</w:t>
            </w:r>
          </w:p>
          <w:p>
            <w:pPr>
              <w:spacing w:line="400" w:lineRule="exact"/>
              <w:rPr>
                <w:rFonts w:hint="default" w:ascii="仿宋_GB2312" w:hAnsi="黑体" w:eastAsia="仿宋_GB2312"/>
                <w:color w:val="000000"/>
                <w:kern w:val="0"/>
                <w:sz w:val="24"/>
                <w:lang w:val="en-US" w:eastAsia="zh-CN"/>
              </w:rPr>
            </w:pPr>
            <w:r>
              <w:rPr>
                <w:rFonts w:hint="eastAsia" w:ascii="仿宋_GB2312" w:hAnsi="黑体" w:eastAsia="仿宋_GB2312"/>
                <w:color w:val="000000"/>
                <w:kern w:val="0"/>
                <w:sz w:val="24"/>
                <w:lang w:val="en-US" w:eastAsia="zh-CN"/>
              </w:rPr>
              <w:t>3.线路为航站楼出入口至问询台地面标识处。</w:t>
            </w:r>
          </w:p>
          <w:p>
            <w:pPr>
              <w:jc w:val="both"/>
              <w:rPr>
                <w:rFonts w:ascii="仿宋_GB2312" w:hAnsi="黑体" w:eastAsia="仿宋_GB2312"/>
                <w:color w:val="000000"/>
                <w:sz w:val="24"/>
              </w:rPr>
            </w:pPr>
            <w:r>
              <w:rPr>
                <w:rFonts w:hint="eastAsia" w:ascii="仿宋_GB2312" w:hAnsi="黑体" w:eastAsia="仿宋_GB2312"/>
                <w:color w:val="000000"/>
                <w:kern w:val="0"/>
                <w:sz w:val="24"/>
                <w:lang w:val="en-US" w:eastAsia="zh-CN"/>
              </w:rPr>
              <w:t>4.盲道宽度500mm，项目包含安装。</w:t>
            </w:r>
          </w:p>
        </w:tc>
        <w:tc>
          <w:tcPr>
            <w:tcW w:w="536"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米</w:t>
            </w:r>
          </w:p>
        </w:tc>
        <w:tc>
          <w:tcPr>
            <w:tcW w:w="1080"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35</w:t>
            </w:r>
          </w:p>
        </w:tc>
        <w:tc>
          <w:tcPr>
            <w:tcW w:w="734" w:type="dxa"/>
            <w:vAlign w:val="center"/>
          </w:tcPr>
          <w:p>
            <w:pPr>
              <w:spacing w:line="560" w:lineRule="exact"/>
              <w:jc w:val="center"/>
              <w:rPr>
                <w:rFonts w:ascii="仿宋_GB2312" w:hAnsi="黑体" w:eastAsia="仿宋_GB2312"/>
                <w:color w:val="000000"/>
                <w:sz w:val="24"/>
              </w:rPr>
            </w:pPr>
          </w:p>
        </w:tc>
        <w:tc>
          <w:tcPr>
            <w:tcW w:w="747"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rPr>
              <w:t>2</w:t>
            </w:r>
          </w:p>
        </w:tc>
        <w:tc>
          <w:tcPr>
            <w:tcW w:w="1429"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交通中心至T4六米层隔离区外问询台</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盲道1条</w:t>
            </w:r>
          </w:p>
        </w:tc>
        <w:tc>
          <w:tcPr>
            <w:tcW w:w="3293" w:type="dxa"/>
            <w:vMerge w:val="continue"/>
            <w:vAlign w:val="center"/>
          </w:tcPr>
          <w:p>
            <w:pPr>
              <w:jc w:val="center"/>
              <w:rPr>
                <w:rFonts w:ascii="仿宋_GB2312" w:hAnsi="黑体" w:eastAsia="仿宋_GB2312"/>
                <w:color w:val="000000"/>
                <w:sz w:val="24"/>
              </w:rPr>
            </w:pPr>
          </w:p>
        </w:tc>
        <w:tc>
          <w:tcPr>
            <w:tcW w:w="536"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米</w:t>
            </w:r>
          </w:p>
        </w:tc>
        <w:tc>
          <w:tcPr>
            <w:tcW w:w="1080"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12</w:t>
            </w:r>
          </w:p>
        </w:tc>
        <w:tc>
          <w:tcPr>
            <w:tcW w:w="734" w:type="dxa"/>
            <w:vAlign w:val="center"/>
          </w:tcPr>
          <w:p>
            <w:pPr>
              <w:spacing w:line="560" w:lineRule="exact"/>
              <w:jc w:val="center"/>
              <w:rPr>
                <w:rFonts w:ascii="仿宋_GB2312" w:hAnsi="黑体" w:eastAsia="仿宋_GB2312"/>
                <w:color w:val="000000"/>
                <w:sz w:val="24"/>
              </w:rPr>
            </w:pPr>
          </w:p>
        </w:tc>
        <w:tc>
          <w:tcPr>
            <w:tcW w:w="747"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6" w:type="dxa"/>
            <w:vAlign w:val="center"/>
          </w:tcPr>
          <w:p>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3</w:t>
            </w:r>
          </w:p>
        </w:tc>
        <w:tc>
          <w:tcPr>
            <w:tcW w:w="1429" w:type="dxa"/>
            <w:vAlign w:val="center"/>
          </w:tcPr>
          <w:p>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备用</w:t>
            </w:r>
            <w:r>
              <w:rPr>
                <w:rFonts w:hint="eastAsia" w:ascii="仿宋_GB2312" w:hAnsi="黑体" w:eastAsia="仿宋_GB2312"/>
                <w:color w:val="000000"/>
                <w:kern w:val="0"/>
                <w:sz w:val="24"/>
                <w:lang w:val="en-US" w:eastAsia="zh"/>
              </w:rPr>
              <w:t>不锈钢</w:t>
            </w:r>
            <w:r>
              <w:rPr>
                <w:rFonts w:hint="eastAsia" w:ascii="仿宋_GB2312" w:hAnsi="黑体" w:eastAsia="仿宋_GB2312"/>
                <w:color w:val="000000"/>
                <w:kern w:val="0"/>
                <w:sz w:val="24"/>
                <w:lang w:val="en-US" w:eastAsia="zh-CN"/>
              </w:rPr>
              <w:t>盲道</w:t>
            </w:r>
          </w:p>
        </w:tc>
        <w:tc>
          <w:tcPr>
            <w:tcW w:w="3293" w:type="dxa"/>
            <w:vAlign w:val="center"/>
          </w:tcPr>
          <w:p>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行进盲道和提示盲道各3米，宽度500mm，不含安装。</w:t>
            </w:r>
          </w:p>
        </w:tc>
        <w:tc>
          <w:tcPr>
            <w:tcW w:w="536" w:type="dxa"/>
            <w:vAlign w:val="center"/>
          </w:tcPr>
          <w:p>
            <w:pPr>
              <w:jc w:val="center"/>
              <w:rPr>
                <w:rFonts w:hint="eastAsia" w:ascii="仿宋_GB2312" w:hAnsi="黑体" w:eastAsia="仿宋_GB2312"/>
                <w:color w:val="000000"/>
                <w:sz w:val="24"/>
              </w:rPr>
            </w:pPr>
            <w:r>
              <w:rPr>
                <w:rFonts w:hint="eastAsia" w:ascii="仿宋_GB2312" w:hAnsi="黑体" w:eastAsia="仿宋_GB2312"/>
                <w:color w:val="000000"/>
                <w:kern w:val="0"/>
                <w:sz w:val="24"/>
                <w:lang w:val="en-US" w:eastAsia="zh-CN"/>
              </w:rPr>
              <w:t>米</w:t>
            </w:r>
          </w:p>
        </w:tc>
        <w:tc>
          <w:tcPr>
            <w:tcW w:w="1080" w:type="dxa"/>
            <w:vAlign w:val="center"/>
          </w:tcPr>
          <w:p>
            <w:pPr>
              <w:jc w:val="center"/>
              <w:rPr>
                <w:rFonts w:ascii="仿宋_GB2312" w:hAnsi="黑体" w:eastAsia="仿宋_GB2312"/>
                <w:color w:val="000000"/>
                <w:sz w:val="24"/>
              </w:rPr>
            </w:pPr>
            <w:r>
              <w:rPr>
                <w:rFonts w:hint="eastAsia" w:ascii="仿宋_GB2312" w:hAnsi="黑体" w:eastAsia="仿宋_GB2312"/>
                <w:color w:val="000000"/>
                <w:kern w:val="0"/>
                <w:sz w:val="24"/>
                <w:lang w:val="en-US" w:eastAsia="zh-CN"/>
              </w:rPr>
              <w:t>6</w:t>
            </w:r>
          </w:p>
        </w:tc>
        <w:tc>
          <w:tcPr>
            <w:tcW w:w="734" w:type="dxa"/>
            <w:vAlign w:val="center"/>
          </w:tcPr>
          <w:p>
            <w:pPr>
              <w:spacing w:line="560" w:lineRule="exact"/>
              <w:jc w:val="center"/>
              <w:rPr>
                <w:rFonts w:ascii="仿宋_GB2312" w:hAnsi="黑体" w:eastAsia="仿宋_GB2312"/>
                <w:color w:val="000000"/>
                <w:sz w:val="24"/>
              </w:rPr>
            </w:pPr>
          </w:p>
        </w:tc>
        <w:tc>
          <w:tcPr>
            <w:tcW w:w="747" w:type="dxa"/>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4"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不含税价格合计（元）</w:t>
            </w:r>
          </w:p>
        </w:tc>
        <w:tc>
          <w:tcPr>
            <w:tcW w:w="2561" w:type="dxa"/>
            <w:gridSpan w:val="3"/>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4"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税金（元）</w:t>
            </w:r>
          </w:p>
        </w:tc>
        <w:tc>
          <w:tcPr>
            <w:tcW w:w="2561" w:type="dxa"/>
            <w:gridSpan w:val="3"/>
            <w:vAlign w:val="center"/>
          </w:tcPr>
          <w:p>
            <w:pPr>
              <w:spacing w:line="560" w:lineRule="exact"/>
              <w:jc w:val="center"/>
              <w:rPr>
                <w:rFonts w:ascii="仿宋_GB2312" w:hAnsi="黑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94" w:type="dxa"/>
            <w:gridSpan w:val="4"/>
            <w:vAlign w:val="center"/>
          </w:tcPr>
          <w:p>
            <w:pPr>
              <w:jc w:val="center"/>
              <w:rPr>
                <w:rFonts w:ascii="仿宋_GB2312" w:hAnsi="黑体" w:eastAsia="仿宋_GB2312"/>
                <w:color w:val="000000"/>
                <w:sz w:val="24"/>
              </w:rPr>
            </w:pPr>
            <w:r>
              <w:rPr>
                <w:rFonts w:hint="eastAsia" w:ascii="仿宋_GB2312" w:hAnsi="黑体" w:eastAsia="仿宋_GB2312"/>
                <w:color w:val="000000"/>
                <w:sz w:val="24"/>
              </w:rPr>
              <w:t>含税价格合计（元）</w:t>
            </w:r>
          </w:p>
        </w:tc>
        <w:tc>
          <w:tcPr>
            <w:tcW w:w="2561" w:type="dxa"/>
            <w:gridSpan w:val="3"/>
            <w:vAlign w:val="center"/>
          </w:tcPr>
          <w:p>
            <w:pPr>
              <w:spacing w:line="560" w:lineRule="exact"/>
              <w:jc w:val="center"/>
              <w:rPr>
                <w:rFonts w:ascii="仿宋_GB2312" w:hAnsi="黑体" w:eastAsia="仿宋_GB2312"/>
                <w:color w:val="000000"/>
                <w:sz w:val="24"/>
              </w:rPr>
            </w:pPr>
            <w:r>
              <w:rPr>
                <w:rFonts w:hint="eastAsia" w:ascii="仿宋_GB2312" w:hAnsi="黑体" w:eastAsia="仿宋_GB2312"/>
                <w:color w:val="000000"/>
                <w:sz w:val="24"/>
              </w:rPr>
              <w:t>人民币大写：  ，¥</w:t>
            </w:r>
          </w:p>
        </w:tc>
      </w:tr>
    </w:tbl>
    <w:p>
      <w:pPr>
        <w:spacing w:line="500" w:lineRule="exact"/>
        <w:ind w:firstLine="562" w:firstLineChars="200"/>
        <w:rPr>
          <w:rFonts w:ascii="仿宋_GB2312" w:hAnsi="仿宋_GB2312" w:eastAsia="仿宋_GB2312" w:cs="仿宋_GB2312"/>
          <w:b/>
          <w:bCs/>
          <w:sz w:val="28"/>
          <w:szCs w:val="28"/>
        </w:rPr>
      </w:pPr>
    </w:p>
    <w:p>
      <w:pPr>
        <w:spacing w:line="5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注意事项：</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1、报价方在需加盖公章予以确认，所报价格不得因任何原因进行调整。</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2、报价方所报价格应为完成本次项目所发生的一切费用，包含但不限于产品的供货、运输、搬运费、</w:t>
      </w:r>
      <w:r>
        <w:rPr>
          <w:rFonts w:hint="eastAsia" w:ascii="仿宋_GB2312" w:hAnsi="仿宋_GB2312" w:eastAsia="仿宋_GB2312" w:cs="仿宋_GB2312"/>
          <w:b/>
          <w:bCs/>
          <w:sz w:val="28"/>
          <w:szCs w:val="28"/>
          <w:lang w:val="en-US" w:eastAsia="zh-CN"/>
        </w:rPr>
        <w:t>辅料费、垃圾清运费、</w:t>
      </w:r>
      <w:r>
        <w:rPr>
          <w:rFonts w:hint="eastAsia" w:ascii="仿宋_GB2312" w:hAnsi="仿宋_GB2312" w:eastAsia="仿宋_GB2312" w:cs="仿宋_GB2312"/>
          <w:b/>
          <w:bCs/>
          <w:sz w:val="28"/>
          <w:szCs w:val="28"/>
        </w:rPr>
        <w:t>安装费</w:t>
      </w:r>
      <w:r>
        <w:rPr>
          <w:rFonts w:hint="eastAsia" w:ascii="仿宋_GB2312" w:hAnsi="仿宋_GB2312" w:eastAsia="仿宋_GB2312" w:cs="仿宋_GB2312"/>
          <w:sz w:val="28"/>
          <w:szCs w:val="28"/>
        </w:rPr>
        <w:t>、包装费、流量费、根据甲方要求对完成安装的设备进行微调费用、税费、验收及售后服务。</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3、改造安装</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日内完成。</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4、需提供增值税专用发票，</w:t>
      </w:r>
      <w:r>
        <w:rPr>
          <w:rFonts w:hint="eastAsia" w:ascii="仿宋_GB2312" w:hAnsi="仿宋_GB2312" w:eastAsia="仿宋_GB2312" w:cs="仿宋_GB2312"/>
          <w:b/>
          <w:bCs/>
          <w:sz w:val="28"/>
          <w:szCs w:val="28"/>
        </w:rPr>
        <w:t>费用按实结算</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5、质保期两年。</w:t>
      </w:r>
    </w:p>
    <w:p>
      <w:pPr>
        <w:spacing w:line="56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、售后服务条款：设备发生非人为破损或故障后需24小时内响应并进场免费维修。</w:t>
      </w:r>
    </w:p>
    <w:p>
      <w:pPr>
        <w:spacing w:line="500" w:lineRule="exact"/>
        <w:ind w:firstLine="560" w:firstLineChars="200"/>
        <w:rPr>
          <w:rFonts w:ascii="仿宋_GB2312" w:hAnsi="仿宋_GB2312" w:eastAsia="仿宋_GB2312" w:cs="仿宋_GB2312"/>
          <w:sz w:val="28"/>
          <w:szCs w:val="28"/>
        </w:rPr>
      </w:pPr>
    </w:p>
    <w:p>
      <w:pPr>
        <w:spacing w:line="500" w:lineRule="exact"/>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 xml:space="preserve">项目联系人：        联系电话： </w:t>
      </w: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                     </w:t>
      </w: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480" w:firstLineChars="200"/>
        <w:jc w:val="right"/>
        <w:rPr>
          <w:rFonts w:ascii="仿宋_GB2312" w:hAnsi="仿宋_GB2312" w:eastAsia="仿宋_GB2312" w:cs="仿宋_GB2312"/>
          <w:sz w:val="24"/>
        </w:rPr>
      </w:pPr>
    </w:p>
    <w:p>
      <w:pPr>
        <w:wordWrap w:val="0"/>
        <w:spacing w:line="500" w:lineRule="exact"/>
        <w:ind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报价单位（盖章）：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pPr>
    </w:p>
    <w:p>
      <w:pPr>
        <w:rPr>
          <w:sz w:val="28"/>
          <w:szCs w:val="28"/>
        </w:rPr>
      </w:pPr>
      <w:r>
        <w:rPr>
          <w:rFonts w:hint="eastAsia" w:ascii="仿宋_GB2312" w:hAnsi="仿宋_GB2312" w:eastAsia="仿宋_GB2312" w:cs="仿宋_GB2312"/>
          <w:sz w:val="28"/>
          <w:szCs w:val="28"/>
        </w:rPr>
        <w:t xml:space="preserve">                                         日 期：    </w:t>
      </w:r>
    </w:p>
    <w:p>
      <w:pPr>
        <w:rPr>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30ECB"/>
    <w:multiLevelType w:val="singleLevel"/>
    <w:tmpl w:val="64D30E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F7"/>
    <w:rsid w:val="00163D9F"/>
    <w:rsid w:val="00174BCD"/>
    <w:rsid w:val="001E0D32"/>
    <w:rsid w:val="001F54C7"/>
    <w:rsid w:val="0023561C"/>
    <w:rsid w:val="002C6159"/>
    <w:rsid w:val="00327EBE"/>
    <w:rsid w:val="003E21A3"/>
    <w:rsid w:val="0047245F"/>
    <w:rsid w:val="004871F2"/>
    <w:rsid w:val="004B691F"/>
    <w:rsid w:val="004E0A97"/>
    <w:rsid w:val="005128BD"/>
    <w:rsid w:val="0052677C"/>
    <w:rsid w:val="00541D6C"/>
    <w:rsid w:val="00556218"/>
    <w:rsid w:val="005645F7"/>
    <w:rsid w:val="00585CD4"/>
    <w:rsid w:val="005B3C55"/>
    <w:rsid w:val="005C7268"/>
    <w:rsid w:val="0060631D"/>
    <w:rsid w:val="00652B7D"/>
    <w:rsid w:val="006A1D1B"/>
    <w:rsid w:val="006C6DD0"/>
    <w:rsid w:val="007029E4"/>
    <w:rsid w:val="00734935"/>
    <w:rsid w:val="00760747"/>
    <w:rsid w:val="0081408F"/>
    <w:rsid w:val="0084228A"/>
    <w:rsid w:val="00877C80"/>
    <w:rsid w:val="00880084"/>
    <w:rsid w:val="00970987"/>
    <w:rsid w:val="009A2D8E"/>
    <w:rsid w:val="00A5272D"/>
    <w:rsid w:val="00A80D6B"/>
    <w:rsid w:val="00B06992"/>
    <w:rsid w:val="00B571A0"/>
    <w:rsid w:val="00B67DB7"/>
    <w:rsid w:val="00B85FA6"/>
    <w:rsid w:val="00BB53AF"/>
    <w:rsid w:val="00BE2336"/>
    <w:rsid w:val="00C62CD4"/>
    <w:rsid w:val="00CA2646"/>
    <w:rsid w:val="00D50DC9"/>
    <w:rsid w:val="00DC0616"/>
    <w:rsid w:val="00E2615D"/>
    <w:rsid w:val="00E2789F"/>
    <w:rsid w:val="00E6284A"/>
    <w:rsid w:val="00E8305D"/>
    <w:rsid w:val="00EA0669"/>
    <w:rsid w:val="00ED4E7C"/>
    <w:rsid w:val="00EF2A30"/>
    <w:rsid w:val="00EF3DE6"/>
    <w:rsid w:val="00F93FD6"/>
    <w:rsid w:val="00FB0856"/>
    <w:rsid w:val="00FF41B6"/>
    <w:rsid w:val="01BF5575"/>
    <w:rsid w:val="01CB6990"/>
    <w:rsid w:val="02874D6B"/>
    <w:rsid w:val="028B18FB"/>
    <w:rsid w:val="04255172"/>
    <w:rsid w:val="05FD48BE"/>
    <w:rsid w:val="063D115E"/>
    <w:rsid w:val="064C314F"/>
    <w:rsid w:val="066009A8"/>
    <w:rsid w:val="06681488"/>
    <w:rsid w:val="081E4FBF"/>
    <w:rsid w:val="082957EF"/>
    <w:rsid w:val="083D3697"/>
    <w:rsid w:val="08C72F61"/>
    <w:rsid w:val="09644C54"/>
    <w:rsid w:val="0A27015B"/>
    <w:rsid w:val="0B380146"/>
    <w:rsid w:val="0B48482D"/>
    <w:rsid w:val="0B66518F"/>
    <w:rsid w:val="0B9A29F2"/>
    <w:rsid w:val="0B9D203F"/>
    <w:rsid w:val="0C2D25E4"/>
    <w:rsid w:val="0E0B38F0"/>
    <w:rsid w:val="0EAC50D3"/>
    <w:rsid w:val="0EAF071F"/>
    <w:rsid w:val="0EBD7EC8"/>
    <w:rsid w:val="0F125A72"/>
    <w:rsid w:val="10294501"/>
    <w:rsid w:val="10AB0C1C"/>
    <w:rsid w:val="113A6B58"/>
    <w:rsid w:val="11AA58E7"/>
    <w:rsid w:val="125F4163"/>
    <w:rsid w:val="12FA488E"/>
    <w:rsid w:val="13207525"/>
    <w:rsid w:val="13464131"/>
    <w:rsid w:val="1376180B"/>
    <w:rsid w:val="145625E5"/>
    <w:rsid w:val="157C2FAC"/>
    <w:rsid w:val="15807068"/>
    <w:rsid w:val="16571DC8"/>
    <w:rsid w:val="16DE1BA1"/>
    <w:rsid w:val="177C760C"/>
    <w:rsid w:val="188201C2"/>
    <w:rsid w:val="18D53478"/>
    <w:rsid w:val="19004AEC"/>
    <w:rsid w:val="197775B1"/>
    <w:rsid w:val="198509FA"/>
    <w:rsid w:val="1A55090C"/>
    <w:rsid w:val="1B261D69"/>
    <w:rsid w:val="1B514299"/>
    <w:rsid w:val="1BD01187"/>
    <w:rsid w:val="1C3404B6"/>
    <w:rsid w:val="1CB6711D"/>
    <w:rsid w:val="1CD777BF"/>
    <w:rsid w:val="1D497F91"/>
    <w:rsid w:val="1D5D57EA"/>
    <w:rsid w:val="1DD27F86"/>
    <w:rsid w:val="1E8E1976"/>
    <w:rsid w:val="1EAE09F3"/>
    <w:rsid w:val="1F4B4696"/>
    <w:rsid w:val="1F7C289F"/>
    <w:rsid w:val="1FFE893C"/>
    <w:rsid w:val="20FF5536"/>
    <w:rsid w:val="218E0668"/>
    <w:rsid w:val="224A458F"/>
    <w:rsid w:val="247C0C4C"/>
    <w:rsid w:val="2500362B"/>
    <w:rsid w:val="25BC7A36"/>
    <w:rsid w:val="260E1D77"/>
    <w:rsid w:val="26263565"/>
    <w:rsid w:val="26BA4E6A"/>
    <w:rsid w:val="27533EE6"/>
    <w:rsid w:val="27602BEA"/>
    <w:rsid w:val="285A12A4"/>
    <w:rsid w:val="28610884"/>
    <w:rsid w:val="28AB32A9"/>
    <w:rsid w:val="28F27F55"/>
    <w:rsid w:val="299D769A"/>
    <w:rsid w:val="2A862824"/>
    <w:rsid w:val="2AFF516F"/>
    <w:rsid w:val="2B0379D1"/>
    <w:rsid w:val="2B473D61"/>
    <w:rsid w:val="2BD61589"/>
    <w:rsid w:val="2BDE67AE"/>
    <w:rsid w:val="2C2C11A9"/>
    <w:rsid w:val="2CD13A2F"/>
    <w:rsid w:val="2D166C2C"/>
    <w:rsid w:val="2D460049"/>
    <w:rsid w:val="2D530A29"/>
    <w:rsid w:val="2D850B71"/>
    <w:rsid w:val="2DD13DB6"/>
    <w:rsid w:val="2DD815E9"/>
    <w:rsid w:val="2DF83A39"/>
    <w:rsid w:val="2E67296D"/>
    <w:rsid w:val="2EEB70FA"/>
    <w:rsid w:val="2F000DF7"/>
    <w:rsid w:val="2F3C0808"/>
    <w:rsid w:val="2FDB53C0"/>
    <w:rsid w:val="301C334C"/>
    <w:rsid w:val="30544418"/>
    <w:rsid w:val="31E3965C"/>
    <w:rsid w:val="31ED4F37"/>
    <w:rsid w:val="32584AA6"/>
    <w:rsid w:val="32AF043E"/>
    <w:rsid w:val="32DB1233"/>
    <w:rsid w:val="33207F72"/>
    <w:rsid w:val="337C3CC6"/>
    <w:rsid w:val="34117602"/>
    <w:rsid w:val="34160775"/>
    <w:rsid w:val="34237336"/>
    <w:rsid w:val="35102C8B"/>
    <w:rsid w:val="3673AD48"/>
    <w:rsid w:val="369E2CA4"/>
    <w:rsid w:val="36AC53C0"/>
    <w:rsid w:val="370E7E29"/>
    <w:rsid w:val="37101483"/>
    <w:rsid w:val="391B4A7F"/>
    <w:rsid w:val="3A8C477B"/>
    <w:rsid w:val="3AF74613"/>
    <w:rsid w:val="3B007074"/>
    <w:rsid w:val="3C5067EE"/>
    <w:rsid w:val="3CBB635D"/>
    <w:rsid w:val="3D073351"/>
    <w:rsid w:val="3D633667"/>
    <w:rsid w:val="3DB57251"/>
    <w:rsid w:val="3DF87AD0"/>
    <w:rsid w:val="3DF9445B"/>
    <w:rsid w:val="3E4F5B8B"/>
    <w:rsid w:val="3E5904BE"/>
    <w:rsid w:val="3F1C50AD"/>
    <w:rsid w:val="3F6902F3"/>
    <w:rsid w:val="405B2DF9"/>
    <w:rsid w:val="40D07539"/>
    <w:rsid w:val="41391F47"/>
    <w:rsid w:val="422C1AAB"/>
    <w:rsid w:val="4246491B"/>
    <w:rsid w:val="42845443"/>
    <w:rsid w:val="435B61A4"/>
    <w:rsid w:val="43804F39"/>
    <w:rsid w:val="438751EB"/>
    <w:rsid w:val="43EF2CF6"/>
    <w:rsid w:val="44953F61"/>
    <w:rsid w:val="459D270E"/>
    <w:rsid w:val="46027732"/>
    <w:rsid w:val="461B217B"/>
    <w:rsid w:val="464C17A5"/>
    <w:rsid w:val="464F7B16"/>
    <w:rsid w:val="467A1037"/>
    <w:rsid w:val="46CF03F2"/>
    <w:rsid w:val="47503B46"/>
    <w:rsid w:val="48DD58AD"/>
    <w:rsid w:val="49154F9A"/>
    <w:rsid w:val="495A0CAC"/>
    <w:rsid w:val="495F62C2"/>
    <w:rsid w:val="497E798A"/>
    <w:rsid w:val="49850CA2"/>
    <w:rsid w:val="4ADE7312"/>
    <w:rsid w:val="4B0C247A"/>
    <w:rsid w:val="4B6D519B"/>
    <w:rsid w:val="4CDE4EF8"/>
    <w:rsid w:val="4D07114B"/>
    <w:rsid w:val="4D2C7E53"/>
    <w:rsid w:val="4E3648A1"/>
    <w:rsid w:val="4E4B5067"/>
    <w:rsid w:val="4E93763E"/>
    <w:rsid w:val="4ECA62A9"/>
    <w:rsid w:val="4F043B94"/>
    <w:rsid w:val="4FFF435B"/>
    <w:rsid w:val="5052092F"/>
    <w:rsid w:val="50637CF2"/>
    <w:rsid w:val="521E5ACE"/>
    <w:rsid w:val="52A82A88"/>
    <w:rsid w:val="54436F0C"/>
    <w:rsid w:val="54866DF9"/>
    <w:rsid w:val="54B27BEE"/>
    <w:rsid w:val="54D2203E"/>
    <w:rsid w:val="556B1823"/>
    <w:rsid w:val="559519EA"/>
    <w:rsid w:val="55F85AD5"/>
    <w:rsid w:val="57882E88"/>
    <w:rsid w:val="57BB7E43"/>
    <w:rsid w:val="57E12054"/>
    <w:rsid w:val="586C7085"/>
    <w:rsid w:val="5878114F"/>
    <w:rsid w:val="587C0C3F"/>
    <w:rsid w:val="58D520FD"/>
    <w:rsid w:val="59D64014"/>
    <w:rsid w:val="5A581238"/>
    <w:rsid w:val="5A715BB0"/>
    <w:rsid w:val="5AB06FDD"/>
    <w:rsid w:val="5AB32912"/>
    <w:rsid w:val="5B1A473F"/>
    <w:rsid w:val="5BB8807F"/>
    <w:rsid w:val="5BE74F27"/>
    <w:rsid w:val="5CB451F7"/>
    <w:rsid w:val="5D303096"/>
    <w:rsid w:val="5D6879E4"/>
    <w:rsid w:val="5DE378FD"/>
    <w:rsid w:val="5E6B261C"/>
    <w:rsid w:val="5E7D126D"/>
    <w:rsid w:val="5EC073AC"/>
    <w:rsid w:val="5F7F1015"/>
    <w:rsid w:val="5F905E94"/>
    <w:rsid w:val="60017C7C"/>
    <w:rsid w:val="61F25ACE"/>
    <w:rsid w:val="61F860A3"/>
    <w:rsid w:val="62F35997"/>
    <w:rsid w:val="640815D9"/>
    <w:rsid w:val="642D7DF9"/>
    <w:rsid w:val="64805613"/>
    <w:rsid w:val="64DF4A2F"/>
    <w:rsid w:val="650D2C1F"/>
    <w:rsid w:val="65BF03BD"/>
    <w:rsid w:val="65D26FC3"/>
    <w:rsid w:val="696D5406"/>
    <w:rsid w:val="69805200"/>
    <w:rsid w:val="69EC374B"/>
    <w:rsid w:val="6A2353BE"/>
    <w:rsid w:val="6A647785"/>
    <w:rsid w:val="6A687275"/>
    <w:rsid w:val="6A931340"/>
    <w:rsid w:val="6B2059E5"/>
    <w:rsid w:val="6B476E8A"/>
    <w:rsid w:val="6B5E2426"/>
    <w:rsid w:val="6BAE515B"/>
    <w:rsid w:val="6BE0108D"/>
    <w:rsid w:val="6C327B3B"/>
    <w:rsid w:val="6C3378AB"/>
    <w:rsid w:val="6CCF5389"/>
    <w:rsid w:val="6D8F4B19"/>
    <w:rsid w:val="6DEC5AC7"/>
    <w:rsid w:val="6E781A51"/>
    <w:rsid w:val="6F8C57B4"/>
    <w:rsid w:val="70DA254F"/>
    <w:rsid w:val="70E4517B"/>
    <w:rsid w:val="719C5A56"/>
    <w:rsid w:val="71C01745"/>
    <w:rsid w:val="725B531E"/>
    <w:rsid w:val="729A3E6C"/>
    <w:rsid w:val="72C708B1"/>
    <w:rsid w:val="72F07E08"/>
    <w:rsid w:val="73E84F83"/>
    <w:rsid w:val="73FB6A64"/>
    <w:rsid w:val="762322A2"/>
    <w:rsid w:val="76AE6010"/>
    <w:rsid w:val="775EAC1D"/>
    <w:rsid w:val="776FBA82"/>
    <w:rsid w:val="779571D0"/>
    <w:rsid w:val="77BD0FA7"/>
    <w:rsid w:val="78713526"/>
    <w:rsid w:val="78DD498A"/>
    <w:rsid w:val="79045836"/>
    <w:rsid w:val="792242A2"/>
    <w:rsid w:val="796B203C"/>
    <w:rsid w:val="79865135"/>
    <w:rsid w:val="79A42446"/>
    <w:rsid w:val="79F94877"/>
    <w:rsid w:val="7A3031E0"/>
    <w:rsid w:val="7AB21E46"/>
    <w:rsid w:val="7AD149C3"/>
    <w:rsid w:val="7AD16771"/>
    <w:rsid w:val="7B2251B2"/>
    <w:rsid w:val="7BBA6F82"/>
    <w:rsid w:val="7BBF481B"/>
    <w:rsid w:val="7C172B89"/>
    <w:rsid w:val="7D2F4477"/>
    <w:rsid w:val="7D567401"/>
    <w:rsid w:val="7DFD5ACF"/>
    <w:rsid w:val="7E527BC8"/>
    <w:rsid w:val="7F88662C"/>
    <w:rsid w:val="7FDA7E75"/>
    <w:rsid w:val="9D7A457E"/>
    <w:rsid w:val="9EFF38F5"/>
    <w:rsid w:val="BF1BE6B5"/>
    <w:rsid w:val="E7BA47D9"/>
    <w:rsid w:val="ECCFA399"/>
    <w:rsid w:val="FBF614B7"/>
    <w:rsid w:val="FEDF6A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2071</Words>
  <Characters>2313</Characters>
  <Lines>15</Lines>
  <Paragraphs>4</Paragraphs>
  <TotalTime>15</TotalTime>
  <ScaleCrop>false</ScaleCrop>
  <LinksUpToDate>false</LinksUpToDate>
  <CharactersWithSpaces>2343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2023-09-17T22:06:00Z</dcterms:created>
  <dc:creator>王明琛</dc:creator>
  <cp:lastModifiedBy>陈冠华</cp:lastModifiedBy>
  <dcterms:modified xsi:type="dcterms:W3CDTF">2026-05-18T01:49:29Z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eyJoZGlkIjoiYTg0NjI0ODAwZjhmYjg4Yjg1YzM5ZDNhYmNjODUzZjciLCJ1c2VySWQiOiIzOTMzNDI1MDgifQ==</vt:lpwstr>
  </property>
  <property fmtid="{D5CDD505-2E9C-101B-9397-08002B2CF9AE}" pid="4" name="ICV">
    <vt:lpwstr>B63056D64AD50E966C25EF690961809E_43</vt:lpwstr>
  </property>
</Properties>
</file>